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w:t>
      </w:r>
      <w:r w:rsidR="00465A44" w:rsidRPr="00465A44">
        <w:rPr>
          <w:rFonts w:ascii="Arial" w:hAnsi="Arial" w:cs="Arial"/>
          <w:color w:val="333333"/>
          <w:sz w:val="14"/>
          <w:szCs w:val="14"/>
          <w:shd w:val="clear" w:color="auto" w:fill="FFFFFF"/>
        </w:rPr>
        <w:t>‘</w:t>
      </w:r>
      <w:r w:rsidR="00646397">
        <w:rPr>
          <w:rFonts w:ascii="Arial" w:hAnsi="Arial" w:cs="Arial"/>
          <w:sz w:val="14"/>
        </w:rPr>
        <w:t xml:space="preserve">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9433C7" w:rsidRPr="009433C7" w:rsidRDefault="009433C7" w:rsidP="00F66C1C">
      <w:pPr>
        <w:jc w:val="center"/>
        <w:rPr>
          <w:b/>
          <w:szCs w:val="24"/>
        </w:rPr>
      </w:pPr>
      <w:r w:rsidRPr="009433C7">
        <w:rPr>
          <w:b/>
          <w:szCs w:val="24"/>
        </w:rPr>
        <w:t>PERFORMANCE MEASURES</w:t>
      </w:r>
    </w:p>
    <w:p w:rsidR="009433C7" w:rsidRPr="009433C7" w:rsidRDefault="009433C7" w:rsidP="00F66C1C">
      <w:pPr>
        <w:jc w:val="center"/>
        <w:rPr>
          <w:b/>
          <w:szCs w:val="24"/>
        </w:rPr>
      </w:pPr>
      <w:r w:rsidRPr="009433C7">
        <w:rPr>
          <w:b/>
          <w:szCs w:val="24"/>
        </w:rPr>
        <w:t>AND ACCOUNTABILITY</w:t>
      </w:r>
    </w:p>
    <w:p w:rsidR="00F66C1C" w:rsidRPr="009433C7" w:rsidRDefault="00F66C1C" w:rsidP="00F66C1C">
      <w:pPr>
        <w:jc w:val="center"/>
        <w:rPr>
          <w:b/>
          <w:snapToGrid/>
          <w:szCs w:val="24"/>
        </w:rPr>
      </w:pPr>
      <w:r w:rsidRPr="009433C7">
        <w:rPr>
          <w:b/>
          <w:szCs w:val="24"/>
        </w:rPr>
        <w:t>COMMITTEE MEETING</w:t>
      </w:r>
    </w:p>
    <w:p w:rsidR="00F66C1C" w:rsidRPr="009433C7" w:rsidRDefault="009433C7" w:rsidP="00F66C1C">
      <w:pPr>
        <w:jc w:val="center"/>
        <w:rPr>
          <w:b/>
          <w:szCs w:val="24"/>
        </w:rPr>
      </w:pPr>
      <w:r w:rsidRPr="009433C7">
        <w:rPr>
          <w:b/>
          <w:szCs w:val="24"/>
        </w:rPr>
        <w:t>Tuesday</w:t>
      </w:r>
      <w:r w:rsidR="00F66C1C" w:rsidRPr="009433C7">
        <w:rPr>
          <w:b/>
          <w:szCs w:val="24"/>
        </w:rPr>
        <w:t xml:space="preserve">, </w:t>
      </w:r>
      <w:r w:rsidRPr="009433C7">
        <w:rPr>
          <w:b/>
          <w:szCs w:val="24"/>
        </w:rPr>
        <w:t>November 12</w:t>
      </w:r>
      <w:r w:rsidR="00F66C1C" w:rsidRPr="009433C7">
        <w:rPr>
          <w:b/>
          <w:szCs w:val="24"/>
        </w:rPr>
        <w:t>, 2024</w:t>
      </w:r>
    </w:p>
    <w:p w:rsidR="00F66C1C" w:rsidRPr="00F66C1C" w:rsidRDefault="009433C7" w:rsidP="00F66C1C">
      <w:pPr>
        <w:jc w:val="center"/>
        <w:rPr>
          <w:b/>
          <w:szCs w:val="24"/>
        </w:rPr>
      </w:pPr>
      <w:r w:rsidRPr="009433C7">
        <w:rPr>
          <w:b/>
          <w:szCs w:val="24"/>
        </w:rPr>
        <w:t>1:00 pm to 2</w:t>
      </w:r>
      <w:r w:rsidR="00F66C1C" w:rsidRPr="009433C7">
        <w:rPr>
          <w:b/>
          <w:szCs w:val="24"/>
        </w:rPr>
        <w:t>:00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F66C1C" w:rsidRDefault="009433C7" w:rsidP="00F66C1C">
      <w:pPr>
        <w:rPr>
          <w:szCs w:val="24"/>
        </w:rPr>
      </w:pPr>
      <w:r>
        <w:rPr>
          <w:szCs w:val="24"/>
        </w:rPr>
        <w:t>Suzie Schulberg,</w:t>
      </w:r>
      <w:r w:rsidR="00AC59FC">
        <w:rPr>
          <w:szCs w:val="24"/>
        </w:rPr>
        <w:t xml:space="preserve"> Arcadia Family of Companies, President and Chief Executive Officer</w:t>
      </w:r>
    </w:p>
    <w:p w:rsidR="00AC59FC" w:rsidRPr="009433C7" w:rsidRDefault="00AC59FC" w:rsidP="00F66C1C">
      <w:pPr>
        <w:rPr>
          <w:szCs w:val="24"/>
        </w:rPr>
      </w:pPr>
      <w:r>
        <w:rPr>
          <w:szCs w:val="24"/>
        </w:rPr>
        <w:t>Christopher Lum Lee, Tri Sec Inc., Principal Guard and Chief Administrative Officer</w:t>
      </w:r>
    </w:p>
    <w:p w:rsidR="009433C7" w:rsidRPr="00F66C1C" w:rsidRDefault="009433C7" w:rsidP="00F66C1C">
      <w:pPr>
        <w:rPr>
          <w:b/>
          <w:szCs w:val="24"/>
          <w:u w:val="single"/>
        </w:rPr>
      </w:pPr>
    </w:p>
    <w:p w:rsidR="00F66C1C" w:rsidRPr="00F66C1C" w:rsidRDefault="00F66C1C" w:rsidP="00F66C1C">
      <w:pPr>
        <w:rPr>
          <w:b/>
          <w:szCs w:val="24"/>
          <w:u w:val="single"/>
        </w:rPr>
      </w:pPr>
      <w:r w:rsidRPr="00F66C1C">
        <w:rPr>
          <w:b/>
          <w:szCs w:val="24"/>
          <w:u w:val="single"/>
        </w:rPr>
        <w:t>Guests:</w:t>
      </w:r>
    </w:p>
    <w:p w:rsidR="00F66C1C" w:rsidRDefault="00AC59FC" w:rsidP="00F66C1C">
      <w:pPr>
        <w:rPr>
          <w:szCs w:val="24"/>
        </w:rPr>
      </w:pPr>
      <w:r>
        <w:rPr>
          <w:szCs w:val="24"/>
        </w:rPr>
        <w:t>Julie Morikawa, ClimbHI, President and Executive Director</w:t>
      </w:r>
    </w:p>
    <w:p w:rsidR="00AC59FC" w:rsidRPr="00AC59FC" w:rsidRDefault="00AC59FC" w:rsidP="00F66C1C">
      <w:pPr>
        <w:rPr>
          <w:sz w:val="22"/>
          <w:szCs w:val="24"/>
        </w:rPr>
      </w:pPr>
      <w:r>
        <w:rPr>
          <w:szCs w:val="24"/>
        </w:rPr>
        <w:t xml:space="preserve">Roseanne Propato, </w:t>
      </w:r>
      <w:r w:rsidRPr="00AC59FC">
        <w:rPr>
          <w:sz w:val="22"/>
          <w:szCs w:val="24"/>
        </w:rPr>
        <w:t>Department of Corrections and Rehabilitation, Corrections Education Supervisor</w:t>
      </w:r>
    </w:p>
    <w:p w:rsidR="009433C7" w:rsidRPr="00F66C1C" w:rsidRDefault="009433C7" w:rsidP="00F66C1C">
      <w:pPr>
        <w:rPr>
          <w:b/>
          <w:szCs w:val="24"/>
          <w:u w:val="single"/>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Pr="00F66C1C" w:rsidRDefault="00F66C1C" w:rsidP="00F66C1C">
      <w:pPr>
        <w:rPr>
          <w:szCs w:val="24"/>
        </w:rPr>
      </w:pPr>
      <w:r w:rsidRPr="00F66C1C">
        <w:rPr>
          <w:szCs w:val="24"/>
        </w:rPr>
        <w:t>Raymond Duong, Oahu Workforce Development Board, Budget Analyst</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9433C7">
        <w:rPr>
          <w:rFonts w:eastAsiaTheme="minorHAnsi"/>
          <w:snapToGrid/>
          <w:szCs w:val="24"/>
        </w:rPr>
        <w:t>Performance Measures and Accountability committee</w:t>
      </w:r>
      <w:r w:rsidRPr="00F66C1C">
        <w:rPr>
          <w:rFonts w:eastAsiaTheme="minorHAnsi"/>
          <w:snapToGrid/>
          <w:szCs w:val="24"/>
        </w:rPr>
        <w:t xml:space="preserve"> meeting was called to order at </w:t>
      </w:r>
      <w:r w:rsidR="00AC59FC" w:rsidRPr="00AC59FC">
        <w:rPr>
          <w:rFonts w:eastAsiaTheme="minorHAnsi"/>
          <w:snapToGrid/>
          <w:szCs w:val="24"/>
        </w:rPr>
        <w:t>1:01</w:t>
      </w:r>
      <w:r w:rsidRPr="00AC59FC">
        <w:rPr>
          <w:rFonts w:eastAsiaTheme="minorHAnsi"/>
          <w:snapToGrid/>
          <w:szCs w:val="24"/>
        </w:rPr>
        <w:t xml:space="preserve"> pm</w:t>
      </w:r>
      <w:r w:rsidRPr="009433C7">
        <w:rPr>
          <w:rFonts w:eastAsiaTheme="minorHAnsi"/>
          <w:snapToGrid/>
          <w:szCs w:val="24"/>
        </w:rPr>
        <w:t xml:space="preserve"> by Committee Chair </w:t>
      </w:r>
      <w:r w:rsidR="009433C7">
        <w:rPr>
          <w:rFonts w:eastAsiaTheme="minorHAnsi"/>
          <w:snapToGrid/>
          <w:szCs w:val="24"/>
        </w:rPr>
        <w:t>Suzie Schulberg</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(Note: Per the State OIP, Oahu Workforce Development Board (OWDB)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F66C1C" w:rsidRPr="00F66C1C" w:rsidRDefault="009433C7" w:rsidP="00F66C1C">
      <w:pPr>
        <w:widowControl/>
        <w:numPr>
          <w:ilvl w:val="1"/>
          <w:numId w:val="1"/>
        </w:numPr>
        <w:spacing w:after="160"/>
        <w:contextualSpacing/>
        <w:rPr>
          <w:rFonts w:eastAsiaTheme="minorHAnsi"/>
          <w:b/>
          <w:snapToGrid/>
          <w:szCs w:val="24"/>
        </w:rPr>
      </w:pPr>
      <w:r w:rsidRPr="009433C7">
        <w:rPr>
          <w:rFonts w:eastAsiaTheme="minorHAnsi"/>
          <w:b/>
          <w:snapToGrid/>
          <w:szCs w:val="24"/>
        </w:rPr>
        <w:t>August 13, 2024</w:t>
      </w:r>
      <w:r w:rsidR="00F66C1C" w:rsidRPr="00F66C1C">
        <w:rPr>
          <w:rFonts w:eastAsiaTheme="minorHAnsi"/>
          <w:b/>
          <w:snapToGrid/>
          <w:szCs w:val="24"/>
        </w:rPr>
        <w:t xml:space="preserve"> Meeting Minutes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9433C7">
        <w:rPr>
          <w:rFonts w:eastAsiaTheme="minorHAnsi"/>
          <w:snapToGrid/>
          <w:szCs w:val="24"/>
        </w:rPr>
        <w:t>Suzie Schulberg</w:t>
      </w:r>
      <w:r w:rsidRPr="00F66C1C">
        <w:rPr>
          <w:rFonts w:eastAsiaTheme="minorHAnsi"/>
          <w:snapToGrid/>
          <w:szCs w:val="24"/>
        </w:rPr>
        <w:t xml:space="preserve"> requested a motion to approve the minutes for the </w:t>
      </w:r>
      <w:r w:rsidR="009433C7">
        <w:rPr>
          <w:rFonts w:eastAsiaTheme="minorHAnsi"/>
          <w:snapToGrid/>
          <w:szCs w:val="24"/>
        </w:rPr>
        <w:t>August 13, 2024</w:t>
      </w:r>
      <w:r w:rsidRPr="00F66C1C">
        <w:rPr>
          <w:rFonts w:eastAsiaTheme="minorHAnsi"/>
          <w:snapToGrid/>
          <w:szCs w:val="24"/>
        </w:rPr>
        <w:t xml:space="preserve">, meeting. </w:t>
      </w:r>
      <w:r w:rsidR="009F1E2B">
        <w:rPr>
          <w:rFonts w:eastAsiaTheme="minorHAnsi"/>
          <w:snapToGrid/>
          <w:szCs w:val="24"/>
        </w:rPr>
        <w:t>Christopher Lum Lee</w:t>
      </w:r>
      <w:r w:rsidRPr="00F66C1C">
        <w:rPr>
          <w:rFonts w:eastAsiaTheme="minorHAnsi"/>
          <w:snapToGrid/>
          <w:szCs w:val="24"/>
        </w:rPr>
        <w:t xml:space="preserve"> moved to approve the minutes. </w:t>
      </w:r>
      <w:r w:rsidR="009F1E2B">
        <w:rPr>
          <w:rFonts w:eastAsiaTheme="minorHAnsi"/>
          <w:snapToGrid/>
          <w:szCs w:val="24"/>
        </w:rPr>
        <w:t>Julie Morikawa</w:t>
      </w:r>
      <w:r w:rsidRPr="00F66C1C">
        <w:rPr>
          <w:rFonts w:eastAsiaTheme="minorHAnsi"/>
          <w:snapToGrid/>
          <w:szCs w:val="24"/>
        </w:rPr>
        <w:t xml:space="preserve"> seconded the motion. There were no objections or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F66C1C" w:rsidRPr="009F1E2B" w:rsidRDefault="009433C7" w:rsidP="00F66C1C">
      <w:pPr>
        <w:widowControl/>
        <w:numPr>
          <w:ilvl w:val="0"/>
          <w:numId w:val="1"/>
        </w:numPr>
        <w:spacing w:after="160"/>
        <w:contextualSpacing/>
        <w:rPr>
          <w:rFonts w:eastAsiaTheme="minorHAnsi"/>
          <w:b/>
          <w:snapToGrid/>
          <w:szCs w:val="24"/>
        </w:rPr>
      </w:pPr>
      <w:r w:rsidRPr="009F1E2B">
        <w:rPr>
          <w:rFonts w:eastAsiaTheme="minorHAnsi"/>
          <w:b/>
          <w:snapToGrid/>
          <w:szCs w:val="24"/>
        </w:rPr>
        <w:t>PY23 Performance Data</w:t>
      </w:r>
    </w:p>
    <w:p w:rsidR="00F66C1C" w:rsidRDefault="009F1E2B" w:rsidP="00F66C1C">
      <w:pPr>
        <w:widowControl/>
        <w:spacing w:after="160"/>
        <w:ind w:left="1080"/>
        <w:contextualSpacing/>
        <w:rPr>
          <w:rFonts w:eastAsiaTheme="minorHAnsi"/>
          <w:snapToGrid/>
          <w:szCs w:val="24"/>
        </w:rPr>
      </w:pPr>
      <w:r>
        <w:rPr>
          <w:rFonts w:eastAsiaTheme="minorHAnsi"/>
          <w:snapToGrid/>
          <w:szCs w:val="24"/>
        </w:rPr>
        <w:t xml:space="preserve">Daven Kawamura, Workforce Innovation and Opportunity Act (WIOA) </w:t>
      </w:r>
      <w:r w:rsidR="009D6FA6">
        <w:rPr>
          <w:rFonts w:eastAsiaTheme="minorHAnsi"/>
          <w:snapToGrid/>
          <w:szCs w:val="24"/>
        </w:rPr>
        <w:t>S</w:t>
      </w:r>
      <w:r>
        <w:rPr>
          <w:rFonts w:eastAsiaTheme="minorHAnsi"/>
          <w:snapToGrid/>
          <w:szCs w:val="24"/>
        </w:rPr>
        <w:t xml:space="preserve">pecialist for </w:t>
      </w:r>
      <w:r w:rsidR="009D6FA6">
        <w:rPr>
          <w:rFonts w:eastAsiaTheme="minorHAnsi"/>
          <w:snapToGrid/>
          <w:szCs w:val="24"/>
        </w:rPr>
        <w:t xml:space="preserve">the </w:t>
      </w:r>
      <w:r>
        <w:rPr>
          <w:rFonts w:eastAsiaTheme="minorHAnsi"/>
          <w:snapToGrid/>
          <w:szCs w:val="24"/>
        </w:rPr>
        <w:t xml:space="preserve">OWDB, </w:t>
      </w:r>
      <w:r w:rsidR="0071555E">
        <w:rPr>
          <w:rFonts w:eastAsiaTheme="minorHAnsi"/>
          <w:snapToGrid/>
          <w:szCs w:val="24"/>
        </w:rPr>
        <w:t>we</w:t>
      </w:r>
      <w:r w:rsidR="00546C7C">
        <w:rPr>
          <w:rFonts w:eastAsiaTheme="minorHAnsi"/>
          <w:snapToGrid/>
          <w:szCs w:val="24"/>
        </w:rPr>
        <w:t>n</w:t>
      </w:r>
      <w:r w:rsidR="0071555E">
        <w:rPr>
          <w:rFonts w:eastAsiaTheme="minorHAnsi"/>
          <w:snapToGrid/>
          <w:szCs w:val="24"/>
        </w:rPr>
        <w:t>t over the Program Year (PY) 23 1</w:t>
      </w:r>
      <w:r w:rsidR="0071555E" w:rsidRPr="0071555E">
        <w:rPr>
          <w:rFonts w:eastAsiaTheme="minorHAnsi"/>
          <w:snapToGrid/>
          <w:szCs w:val="24"/>
          <w:vertAlign w:val="superscript"/>
        </w:rPr>
        <w:t>st</w:t>
      </w:r>
      <w:r w:rsidR="0071555E">
        <w:rPr>
          <w:rFonts w:eastAsiaTheme="minorHAnsi"/>
          <w:snapToGrid/>
          <w:szCs w:val="24"/>
        </w:rPr>
        <w:t xml:space="preserve"> quarter performance data</w:t>
      </w:r>
      <w:r w:rsidR="005B1A4F">
        <w:rPr>
          <w:rFonts w:eastAsiaTheme="minorHAnsi"/>
          <w:snapToGrid/>
          <w:szCs w:val="24"/>
        </w:rPr>
        <w:t xml:space="preserve"> and new participants per program</w:t>
      </w:r>
      <w:r w:rsidR="0071555E">
        <w:rPr>
          <w:rFonts w:eastAsiaTheme="minorHAnsi"/>
          <w:snapToGrid/>
          <w:szCs w:val="24"/>
        </w:rPr>
        <w:t>.</w:t>
      </w:r>
    </w:p>
    <w:p w:rsidR="0071555E" w:rsidRDefault="0071555E" w:rsidP="00F66C1C">
      <w:pPr>
        <w:widowControl/>
        <w:spacing w:after="160"/>
        <w:ind w:left="1080"/>
        <w:contextualSpacing/>
        <w:rPr>
          <w:rFonts w:eastAsiaTheme="minorHAnsi"/>
          <w:snapToGrid/>
          <w:szCs w:val="24"/>
        </w:rPr>
      </w:pPr>
    </w:p>
    <w:p w:rsidR="0071555E" w:rsidRPr="00F66C1C" w:rsidRDefault="0071555E" w:rsidP="00F66C1C">
      <w:pPr>
        <w:widowControl/>
        <w:spacing w:after="160"/>
        <w:ind w:left="1080"/>
        <w:contextualSpacing/>
        <w:rPr>
          <w:rFonts w:eastAsiaTheme="minorHAnsi"/>
          <w:snapToGrid/>
          <w:szCs w:val="24"/>
        </w:rPr>
      </w:pPr>
      <w:r>
        <w:rPr>
          <w:rFonts w:eastAsiaTheme="minorHAnsi"/>
          <w:snapToGrid/>
          <w:szCs w:val="24"/>
        </w:rPr>
        <w:t xml:space="preserve">Regarding slide two of the presentation Daven noted that the current QUEST participant count </w:t>
      </w:r>
      <w:r w:rsidR="009D6FA6">
        <w:rPr>
          <w:rFonts w:eastAsiaTheme="minorHAnsi"/>
          <w:snapToGrid/>
          <w:szCs w:val="24"/>
        </w:rPr>
        <w:t xml:space="preserve">presented </w:t>
      </w:r>
      <w:bookmarkStart w:id="0" w:name="_GoBack"/>
      <w:bookmarkEnd w:id="0"/>
      <w:r>
        <w:rPr>
          <w:rFonts w:eastAsiaTheme="minorHAnsi"/>
          <w:snapToGrid/>
          <w:szCs w:val="24"/>
        </w:rPr>
        <w:t>is not new participants in PY23 but rather total placements through the entirety of the QUEST grant up until this point.</w:t>
      </w:r>
    </w:p>
    <w:p w:rsidR="00F66C1C" w:rsidRPr="00F66C1C" w:rsidRDefault="00F66C1C" w:rsidP="00F66C1C">
      <w:pPr>
        <w:widowControl/>
        <w:spacing w:after="160"/>
        <w:ind w:left="1080"/>
        <w:contextualSpacing/>
        <w:rPr>
          <w:rFonts w:eastAsiaTheme="minorHAnsi"/>
          <w:b/>
          <w:snapToGrid/>
          <w:szCs w:val="24"/>
        </w:rPr>
      </w:pPr>
    </w:p>
    <w:p w:rsidR="009433C7" w:rsidRDefault="009433C7" w:rsidP="00F66C1C">
      <w:pPr>
        <w:widowControl/>
        <w:numPr>
          <w:ilvl w:val="0"/>
          <w:numId w:val="1"/>
        </w:numPr>
        <w:spacing w:after="160"/>
        <w:contextualSpacing/>
        <w:rPr>
          <w:rFonts w:eastAsiaTheme="minorHAnsi"/>
          <w:b/>
          <w:snapToGrid/>
          <w:szCs w:val="24"/>
        </w:rPr>
      </w:pPr>
      <w:r>
        <w:rPr>
          <w:rFonts w:eastAsiaTheme="minorHAnsi"/>
          <w:b/>
          <w:snapToGrid/>
          <w:szCs w:val="24"/>
        </w:rPr>
        <w:t xml:space="preserve">WIOA Title I Programs and QUEST </w:t>
      </w:r>
      <w:r w:rsidR="005B1A4F">
        <w:rPr>
          <w:rFonts w:eastAsiaTheme="minorHAnsi"/>
          <w:b/>
          <w:snapToGrid/>
          <w:szCs w:val="24"/>
        </w:rPr>
        <w:t>P</w:t>
      </w:r>
      <w:r>
        <w:rPr>
          <w:rFonts w:eastAsiaTheme="minorHAnsi"/>
          <w:b/>
          <w:snapToGrid/>
          <w:szCs w:val="24"/>
        </w:rPr>
        <w:t>rogram Monitoring</w:t>
      </w:r>
    </w:p>
    <w:p w:rsidR="009433C7" w:rsidRDefault="00214056" w:rsidP="00D82807">
      <w:pPr>
        <w:widowControl/>
        <w:ind w:left="1080"/>
        <w:contextualSpacing/>
        <w:rPr>
          <w:rFonts w:eastAsiaTheme="minorHAnsi"/>
          <w:snapToGrid/>
          <w:szCs w:val="24"/>
        </w:rPr>
      </w:pPr>
      <w:r>
        <w:rPr>
          <w:rFonts w:eastAsiaTheme="minorHAnsi"/>
          <w:snapToGrid/>
          <w:szCs w:val="24"/>
        </w:rPr>
        <w:t xml:space="preserve">Daven informed the committee that </w:t>
      </w:r>
      <w:r w:rsidR="00D82807">
        <w:rPr>
          <w:rFonts w:eastAsiaTheme="minorHAnsi"/>
          <w:snapToGrid/>
          <w:szCs w:val="24"/>
        </w:rPr>
        <w:t>monitoring for the WIOA Title I programs was conducted from April 29</w:t>
      </w:r>
      <w:r w:rsidR="00D82807" w:rsidRPr="00D82807">
        <w:rPr>
          <w:rFonts w:eastAsiaTheme="minorHAnsi"/>
          <w:snapToGrid/>
          <w:szCs w:val="24"/>
          <w:vertAlign w:val="superscript"/>
        </w:rPr>
        <w:t>th</w:t>
      </w:r>
      <w:r w:rsidR="00D82807">
        <w:rPr>
          <w:rFonts w:eastAsiaTheme="minorHAnsi"/>
          <w:snapToGrid/>
          <w:szCs w:val="24"/>
        </w:rPr>
        <w:t xml:space="preserve"> – May 3</w:t>
      </w:r>
      <w:r w:rsidR="00D82807" w:rsidRPr="00D82807">
        <w:rPr>
          <w:rFonts w:eastAsiaTheme="minorHAnsi"/>
          <w:snapToGrid/>
          <w:szCs w:val="24"/>
          <w:vertAlign w:val="superscript"/>
        </w:rPr>
        <w:t>rd</w:t>
      </w:r>
      <w:r w:rsidR="00D82807">
        <w:rPr>
          <w:rFonts w:eastAsiaTheme="minorHAnsi"/>
          <w:snapToGrid/>
          <w:szCs w:val="24"/>
        </w:rPr>
        <w:t xml:space="preserve"> 2024, and there was a QUEST monitoring that was conducted on November 4</w:t>
      </w:r>
      <w:r w:rsidR="00D82807" w:rsidRPr="00D82807">
        <w:rPr>
          <w:rFonts w:eastAsiaTheme="minorHAnsi"/>
          <w:snapToGrid/>
          <w:szCs w:val="24"/>
          <w:vertAlign w:val="superscript"/>
        </w:rPr>
        <w:t>th</w:t>
      </w:r>
      <w:r w:rsidR="00D82807">
        <w:rPr>
          <w:rFonts w:eastAsiaTheme="minorHAnsi"/>
          <w:snapToGrid/>
          <w:szCs w:val="24"/>
        </w:rPr>
        <w:t>, 6</w:t>
      </w:r>
      <w:r w:rsidR="00D82807" w:rsidRPr="00D82807">
        <w:rPr>
          <w:rFonts w:eastAsiaTheme="minorHAnsi"/>
          <w:snapToGrid/>
          <w:szCs w:val="24"/>
          <w:vertAlign w:val="superscript"/>
        </w:rPr>
        <w:t>th</w:t>
      </w:r>
      <w:r w:rsidR="00D82807">
        <w:rPr>
          <w:rFonts w:eastAsiaTheme="minorHAnsi"/>
          <w:snapToGrid/>
          <w:szCs w:val="24"/>
        </w:rPr>
        <w:t>, and 7</w:t>
      </w:r>
      <w:r w:rsidR="00D82807" w:rsidRPr="00D82807">
        <w:rPr>
          <w:rFonts w:eastAsiaTheme="minorHAnsi"/>
          <w:snapToGrid/>
          <w:szCs w:val="24"/>
          <w:vertAlign w:val="superscript"/>
        </w:rPr>
        <w:t>th</w:t>
      </w:r>
      <w:r w:rsidR="00D82807">
        <w:rPr>
          <w:rFonts w:eastAsiaTheme="minorHAnsi"/>
          <w:snapToGrid/>
          <w:szCs w:val="24"/>
        </w:rPr>
        <w:t>. Harrison Kuranishi, Executive Director of the OWDB, went into more detail.</w:t>
      </w:r>
    </w:p>
    <w:p w:rsidR="00D82807" w:rsidRDefault="00D82807" w:rsidP="00D828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QUEST monitoring report will be submitted within the next thirty days (as of November 12, 2024). During this monitoring the OWDB response to the State QUEST monitoring was submitted.</w:t>
      </w:r>
    </w:p>
    <w:p w:rsidR="00D82807" w:rsidRDefault="00D82807" w:rsidP="00D82807">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OWDB staff disagreed with 80% of the findings from the State monitoring, as there were no ties to any federal regulations that we’ve disrupted. </w:t>
      </w:r>
      <w:r w:rsidR="005F760D">
        <w:rPr>
          <w:rFonts w:ascii="Times New Roman" w:hAnsi="Times New Roman" w:cs="Times New Roman"/>
          <w:sz w:val="24"/>
          <w:szCs w:val="24"/>
        </w:rPr>
        <w:t>An example of a finding that OWDB staff disagreed with was the ratio of interns to supervisor, there was no ratio indicated in the federal guidelines or state bulletins but the finding indicated it should be one intern to four staff.</w:t>
      </w:r>
    </w:p>
    <w:p w:rsidR="00546C7C" w:rsidRDefault="00546C7C" w:rsidP="00546C7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Title I program monitoring response was received and there were a couple of findings.</w:t>
      </w:r>
    </w:p>
    <w:p w:rsidR="00546C7C" w:rsidRDefault="00546C7C" w:rsidP="00546C7C">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One finding was that there was no RFP for the One Stop Operator, the current One Stop Operator agreement is active until July 1, 2025. A response will be sent by submitting the documentation.</w:t>
      </w:r>
    </w:p>
    <w:p w:rsidR="008A5CF5" w:rsidRPr="008A5CF5" w:rsidRDefault="008A5CF5" w:rsidP="008A5CF5">
      <w:pPr>
        <w:ind w:left="2160"/>
        <w:rPr>
          <w:szCs w:val="24"/>
        </w:rPr>
      </w:pPr>
    </w:p>
    <w:p w:rsidR="008A5CF5" w:rsidRDefault="008A5CF5" w:rsidP="008A5CF5">
      <w:pPr>
        <w:ind w:left="1080"/>
        <w:rPr>
          <w:szCs w:val="24"/>
        </w:rPr>
      </w:pPr>
      <w:r>
        <w:rPr>
          <w:szCs w:val="24"/>
        </w:rPr>
        <w:t xml:space="preserve">Suzie Schulberg, President and Chief Executive Officer of Arcadia Family of Companies, </w:t>
      </w:r>
      <w:r w:rsidR="00AD5972">
        <w:rPr>
          <w:szCs w:val="24"/>
        </w:rPr>
        <w:t>wanted clarification on why OWDB is disagreeing with so many of the findings from the State.</w:t>
      </w:r>
    </w:p>
    <w:p w:rsidR="009433C7" w:rsidRPr="005B1A4F" w:rsidRDefault="00AD5972" w:rsidP="005B1A4F">
      <w:pPr>
        <w:pStyle w:val="ListParagraph"/>
        <w:numPr>
          <w:ilvl w:val="0"/>
          <w:numId w:val="4"/>
        </w:numPr>
        <w:rPr>
          <w:szCs w:val="24"/>
        </w:rPr>
      </w:pPr>
      <w:r>
        <w:rPr>
          <w:rFonts w:ascii="Times New Roman" w:hAnsi="Times New Roman" w:cs="Times New Roman"/>
          <w:sz w:val="24"/>
          <w:szCs w:val="24"/>
        </w:rPr>
        <w:t>Harrison s</w:t>
      </w:r>
      <w:r w:rsidR="005B1A4F">
        <w:rPr>
          <w:rFonts w:ascii="Times New Roman" w:hAnsi="Times New Roman" w:cs="Times New Roman"/>
          <w:sz w:val="24"/>
          <w:szCs w:val="24"/>
        </w:rPr>
        <w:t>uspects</w:t>
      </w:r>
      <w:r>
        <w:rPr>
          <w:rFonts w:ascii="Times New Roman" w:hAnsi="Times New Roman" w:cs="Times New Roman"/>
          <w:sz w:val="24"/>
          <w:szCs w:val="24"/>
        </w:rPr>
        <w:t xml:space="preserve"> that most findings may have been triggered by the suspected fraud, waste, and abuse case that was discussed at the last committee meeting.</w:t>
      </w:r>
      <w:r w:rsidR="005B1A4F">
        <w:rPr>
          <w:rFonts w:ascii="Times New Roman" w:hAnsi="Times New Roman" w:cs="Times New Roman"/>
          <w:sz w:val="24"/>
          <w:szCs w:val="24"/>
        </w:rPr>
        <w:t xml:space="preserve"> Harrison brought up the finding regarding Security Guard working overnight with no supervision, the QUEST program requires a mentorship piece but not necessarily shadowing.</w:t>
      </w:r>
    </w:p>
    <w:p w:rsidR="009433C7" w:rsidRDefault="009433C7" w:rsidP="00F66C1C">
      <w:pPr>
        <w:widowControl/>
        <w:numPr>
          <w:ilvl w:val="0"/>
          <w:numId w:val="1"/>
        </w:numPr>
        <w:spacing w:after="160"/>
        <w:contextualSpacing/>
        <w:rPr>
          <w:rFonts w:eastAsiaTheme="minorHAnsi"/>
          <w:b/>
          <w:snapToGrid/>
          <w:szCs w:val="24"/>
        </w:rPr>
      </w:pPr>
      <w:r>
        <w:rPr>
          <w:rFonts w:eastAsiaTheme="minorHAnsi"/>
          <w:b/>
          <w:snapToGrid/>
          <w:szCs w:val="24"/>
        </w:rPr>
        <w:t>Performance Measure Negotiations for PY24 and PY25</w:t>
      </w:r>
    </w:p>
    <w:p w:rsidR="003B64E2" w:rsidRDefault="005B1A4F" w:rsidP="00302657">
      <w:pPr>
        <w:widowControl/>
        <w:spacing w:after="160"/>
        <w:ind w:left="1080"/>
        <w:contextualSpacing/>
        <w:rPr>
          <w:rFonts w:eastAsiaTheme="minorHAnsi"/>
          <w:snapToGrid/>
          <w:szCs w:val="24"/>
        </w:rPr>
      </w:pPr>
      <w:r>
        <w:rPr>
          <w:rFonts w:eastAsiaTheme="minorHAnsi"/>
          <w:snapToGrid/>
          <w:szCs w:val="24"/>
        </w:rPr>
        <w:t>The Performance Measure negotiated rates were shared by Harrison Kura</w:t>
      </w:r>
      <w:r w:rsidR="003B64E2">
        <w:rPr>
          <w:rFonts w:eastAsiaTheme="minorHAnsi"/>
          <w:snapToGrid/>
          <w:szCs w:val="24"/>
        </w:rPr>
        <w:t>nishi.</w:t>
      </w:r>
    </w:p>
    <w:p w:rsidR="00AC59FC" w:rsidRDefault="00AC59FC" w:rsidP="009433C7">
      <w:pPr>
        <w:widowControl/>
        <w:spacing w:after="160"/>
        <w:ind w:left="1080"/>
        <w:contextualSpacing/>
        <w:rPr>
          <w:rFonts w:eastAsiaTheme="minorHAnsi"/>
          <w:snapToGrid/>
          <w:szCs w:val="24"/>
        </w:rPr>
      </w:pPr>
    </w:p>
    <w:p w:rsidR="00AC59FC" w:rsidRDefault="00AC59FC" w:rsidP="009433C7">
      <w:pPr>
        <w:widowControl/>
        <w:spacing w:after="160"/>
        <w:ind w:left="1080"/>
        <w:contextualSpacing/>
        <w:rPr>
          <w:rFonts w:eastAsiaTheme="minorHAnsi"/>
          <w:snapToGrid/>
          <w:szCs w:val="24"/>
        </w:rPr>
      </w:pPr>
      <w:r>
        <w:rPr>
          <w:rFonts w:eastAsiaTheme="minorHAnsi"/>
          <w:snapToGrid/>
          <w:szCs w:val="24"/>
        </w:rPr>
        <w:t>The PowerPoint for agenda items IV, V, and VI can be found at the following link:</w:t>
      </w:r>
    </w:p>
    <w:p w:rsidR="009433C7" w:rsidRDefault="00F74DAE" w:rsidP="009433C7">
      <w:pPr>
        <w:widowControl/>
        <w:spacing w:after="160"/>
        <w:ind w:left="1080"/>
        <w:contextualSpacing/>
        <w:rPr>
          <w:rFonts w:eastAsiaTheme="minorHAnsi"/>
          <w:snapToGrid/>
          <w:szCs w:val="24"/>
        </w:rPr>
      </w:pPr>
      <w:hyperlink r:id="rId11" w:history="1">
        <w:r w:rsidR="004161D8" w:rsidRPr="00D7105E">
          <w:rPr>
            <w:rStyle w:val="Hyperlink"/>
            <w:rFonts w:eastAsiaTheme="minorHAnsi"/>
            <w:snapToGrid/>
            <w:szCs w:val="24"/>
          </w:rPr>
          <w:t>https://oahuwdb.com/wp-content/uploads/2024/11/11.12.24-Performance-Measures-and-Accountability-Meeting.pdf</w:t>
        </w:r>
      </w:hyperlink>
    </w:p>
    <w:p w:rsidR="004161D8" w:rsidRPr="009433C7" w:rsidRDefault="004161D8" w:rsidP="009433C7">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Announcements and Public Testimony</w:t>
      </w:r>
    </w:p>
    <w:p w:rsidR="00F66C1C" w:rsidRDefault="00302657" w:rsidP="00F66C1C">
      <w:pPr>
        <w:widowControl/>
        <w:spacing w:after="160"/>
        <w:ind w:left="1080"/>
        <w:contextualSpacing/>
        <w:rPr>
          <w:rFonts w:eastAsiaTheme="minorHAnsi"/>
          <w:snapToGrid/>
          <w:szCs w:val="24"/>
        </w:rPr>
      </w:pPr>
      <w:r>
        <w:rPr>
          <w:rFonts w:eastAsiaTheme="minorHAnsi"/>
          <w:snapToGrid/>
          <w:szCs w:val="24"/>
        </w:rPr>
        <w:t xml:space="preserve">Harrison Kuranishi informed the committee that on Saturday, November 16, 2024, OWDB staff will be flying out to Phoenix, Arizona for the National Association of </w:t>
      </w:r>
      <w:r>
        <w:rPr>
          <w:rFonts w:eastAsiaTheme="minorHAnsi"/>
          <w:snapToGrid/>
          <w:szCs w:val="24"/>
        </w:rPr>
        <w:lastRenderedPageBreak/>
        <w:t>Workforce Development Professionals Annual Youth Symposium. There will also be representation from the Big Island and Maui Local Workforce Development Boards at the Conference.</w:t>
      </w:r>
    </w:p>
    <w:p w:rsidR="00302657" w:rsidRDefault="00302657" w:rsidP="00F66C1C">
      <w:pPr>
        <w:widowControl/>
        <w:spacing w:after="160"/>
        <w:ind w:left="1080"/>
        <w:contextualSpacing/>
        <w:rPr>
          <w:rFonts w:eastAsiaTheme="minorHAnsi"/>
          <w:snapToGrid/>
          <w:szCs w:val="24"/>
        </w:rPr>
      </w:pPr>
    </w:p>
    <w:p w:rsidR="002C786D" w:rsidRDefault="00302657" w:rsidP="00F66C1C">
      <w:pPr>
        <w:widowControl/>
        <w:spacing w:after="160"/>
        <w:ind w:left="1080"/>
        <w:contextualSpacing/>
        <w:rPr>
          <w:rFonts w:eastAsiaTheme="minorHAnsi"/>
          <w:snapToGrid/>
          <w:szCs w:val="24"/>
        </w:rPr>
      </w:pPr>
      <w:r>
        <w:rPr>
          <w:rFonts w:eastAsiaTheme="minorHAnsi"/>
          <w:snapToGrid/>
          <w:szCs w:val="24"/>
        </w:rPr>
        <w:t xml:space="preserve">Christopher Lum Lee, Principal Guard and Chief Administrative Officer for Tri Sec Inc., and Harrison Kuranishi will be attending </w:t>
      </w:r>
      <w:r w:rsidR="002C786D">
        <w:rPr>
          <w:rFonts w:eastAsiaTheme="minorHAnsi"/>
          <w:snapToGrid/>
          <w:szCs w:val="24"/>
        </w:rPr>
        <w:t>an event for the launching of the Kapolei Magazine which highlights the people, companies, and organizations that are driving the area’s development on Thursday, November 14, 2024.</w:t>
      </w:r>
    </w:p>
    <w:p w:rsidR="002C786D" w:rsidRDefault="002C786D" w:rsidP="00F66C1C">
      <w:pPr>
        <w:widowControl/>
        <w:spacing w:after="160"/>
        <w:ind w:left="1080"/>
        <w:contextualSpacing/>
        <w:rPr>
          <w:rFonts w:eastAsiaTheme="minorHAnsi"/>
          <w:snapToGrid/>
          <w:szCs w:val="24"/>
        </w:rPr>
      </w:pPr>
    </w:p>
    <w:p w:rsidR="00302657" w:rsidRPr="00F66C1C" w:rsidRDefault="002C786D" w:rsidP="00F66C1C">
      <w:pPr>
        <w:widowControl/>
        <w:spacing w:after="160"/>
        <w:ind w:left="1080"/>
        <w:contextualSpacing/>
        <w:rPr>
          <w:rFonts w:eastAsiaTheme="minorHAnsi"/>
          <w:snapToGrid/>
          <w:szCs w:val="24"/>
        </w:rPr>
      </w:pPr>
      <w:r>
        <w:rPr>
          <w:rFonts w:eastAsiaTheme="minorHAnsi"/>
          <w:snapToGrid/>
          <w:szCs w:val="24"/>
        </w:rPr>
        <w:t>The current Service Providers’ Youth Program Manager’s last day</w:t>
      </w:r>
      <w:r w:rsidR="00302657">
        <w:rPr>
          <w:rFonts w:eastAsiaTheme="minorHAnsi"/>
          <w:snapToGrid/>
          <w:szCs w:val="24"/>
        </w:rPr>
        <w:t xml:space="preserve"> </w:t>
      </w:r>
      <w:r>
        <w:rPr>
          <w:rFonts w:eastAsiaTheme="minorHAnsi"/>
          <w:snapToGrid/>
          <w:szCs w:val="24"/>
        </w:rPr>
        <w:t xml:space="preserve">is November 13, 2024. During the time a Youth Program manager is being hired/promoted the Adult and Dislocated program manager will be running Youth as well.  </w:t>
      </w:r>
    </w:p>
    <w:p w:rsidR="00F66C1C" w:rsidRPr="00F66C1C" w:rsidRDefault="00F66C1C" w:rsidP="00F66C1C">
      <w:pPr>
        <w:widowControl/>
        <w:spacing w:after="160" w:line="256" w:lineRule="auto"/>
        <w:ind w:left="72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9433C7" w:rsidP="00F66C1C">
      <w:pPr>
        <w:widowControl/>
        <w:spacing w:after="160"/>
        <w:ind w:left="1080"/>
        <w:contextualSpacing/>
        <w:rPr>
          <w:rFonts w:eastAsiaTheme="minorHAnsi"/>
          <w:snapToGrid/>
          <w:szCs w:val="24"/>
        </w:rPr>
      </w:pPr>
      <w:r>
        <w:rPr>
          <w:rFonts w:eastAsiaTheme="minorHAnsi"/>
          <w:snapToGrid/>
          <w:szCs w:val="24"/>
        </w:rPr>
        <w:t>Meeting schedule for 2025 has not been decided, once tentative dates are set calendar reminders will be sent out accordingly.</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9433C7">
        <w:rPr>
          <w:rFonts w:eastAsiaTheme="minorHAnsi"/>
          <w:snapToGrid/>
          <w:szCs w:val="24"/>
        </w:rPr>
        <w:t>Suzie Schulberg</w:t>
      </w:r>
      <w:r w:rsidRPr="00F66C1C">
        <w:rPr>
          <w:rFonts w:eastAsiaTheme="minorHAnsi"/>
          <w:snapToGrid/>
          <w:szCs w:val="24"/>
        </w:rPr>
        <w:t xml:space="preserve"> adjourned the meeting at </w:t>
      </w:r>
      <w:r w:rsidR="002C786D">
        <w:rPr>
          <w:rFonts w:eastAsiaTheme="minorHAnsi"/>
          <w:snapToGrid/>
          <w:szCs w:val="24"/>
        </w:rPr>
        <w:t>12</w:t>
      </w:r>
      <w:r w:rsidRPr="00F66C1C">
        <w:rPr>
          <w:rFonts w:eastAsiaTheme="minorHAnsi"/>
          <w:snapToGrid/>
          <w:szCs w:val="24"/>
        </w:rPr>
        <w:t>:</w:t>
      </w:r>
      <w:r w:rsidR="002C786D">
        <w:rPr>
          <w:rFonts w:eastAsiaTheme="minorHAnsi"/>
          <w:snapToGrid/>
          <w:szCs w:val="24"/>
        </w:rPr>
        <w:t>3</w:t>
      </w:r>
      <w:r w:rsidR="00F90306">
        <w:rPr>
          <w:rFonts w:eastAsiaTheme="minorHAnsi"/>
          <w:snapToGrid/>
          <w:szCs w:val="24"/>
        </w:rPr>
        <w:t>4</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AE" w:rsidRDefault="00F74DAE" w:rsidP="00F66C1C">
      <w:r>
        <w:separator/>
      </w:r>
    </w:p>
  </w:endnote>
  <w:endnote w:type="continuationSeparator" w:id="0">
    <w:p w:rsidR="00F74DAE" w:rsidRDefault="00F74DAE"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AE" w:rsidRDefault="00F74DAE" w:rsidP="00F66C1C">
      <w:r>
        <w:separator/>
      </w:r>
    </w:p>
  </w:footnote>
  <w:footnote w:type="continuationSeparator" w:id="0">
    <w:p w:rsidR="00F74DAE" w:rsidRDefault="00F74DAE"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F74D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D005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8835CB"/>
    <w:multiLevelType w:val="hybridMultilevel"/>
    <w:tmpl w:val="CDEED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2670FC"/>
    <w:multiLevelType w:val="hybridMultilevel"/>
    <w:tmpl w:val="8C5412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55FC1"/>
    <w:rsid w:val="00214056"/>
    <w:rsid w:val="00292099"/>
    <w:rsid w:val="002A18A4"/>
    <w:rsid w:val="002C786D"/>
    <w:rsid w:val="00302657"/>
    <w:rsid w:val="003A6CE8"/>
    <w:rsid w:val="003B64E2"/>
    <w:rsid w:val="004161D8"/>
    <w:rsid w:val="00465A44"/>
    <w:rsid w:val="004A7B2A"/>
    <w:rsid w:val="004E7DC0"/>
    <w:rsid w:val="00546C7C"/>
    <w:rsid w:val="005B1A4F"/>
    <w:rsid w:val="005C189C"/>
    <w:rsid w:val="005F760D"/>
    <w:rsid w:val="00646397"/>
    <w:rsid w:val="006921ED"/>
    <w:rsid w:val="0071555E"/>
    <w:rsid w:val="00742ED1"/>
    <w:rsid w:val="007914D8"/>
    <w:rsid w:val="007A4C18"/>
    <w:rsid w:val="008A5CF5"/>
    <w:rsid w:val="008F5855"/>
    <w:rsid w:val="008F6390"/>
    <w:rsid w:val="009433C7"/>
    <w:rsid w:val="009548CA"/>
    <w:rsid w:val="009D6FA6"/>
    <w:rsid w:val="009F1E2B"/>
    <w:rsid w:val="00AC59FC"/>
    <w:rsid w:val="00AD5972"/>
    <w:rsid w:val="00B25053"/>
    <w:rsid w:val="00C47B94"/>
    <w:rsid w:val="00D82807"/>
    <w:rsid w:val="00F11717"/>
    <w:rsid w:val="00F66C1C"/>
    <w:rsid w:val="00F74DAE"/>
    <w:rsid w:val="00F9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 w:type="paragraph" w:styleId="ListBullet">
    <w:name w:val="List Bullet"/>
    <w:basedOn w:val="Normal"/>
    <w:uiPriority w:val="99"/>
    <w:unhideWhenUsed/>
    <w:rsid w:val="00302657"/>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11/11.12.24-Performance-Measures-and-Accountability-Meeting.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26F6-0889-4F71-8640-B24E13F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7</cp:revision>
  <cp:lastPrinted>2024-07-03T01:11:00Z</cp:lastPrinted>
  <dcterms:created xsi:type="dcterms:W3CDTF">2024-11-13T00:45:00Z</dcterms:created>
  <dcterms:modified xsi:type="dcterms:W3CDTF">2024-11-20T22:37:00Z</dcterms:modified>
</cp:coreProperties>
</file>