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rsidR="008F5855" w:rsidRDefault="008F5855" w:rsidP="008F5855">
      <w:pPr>
        <w:rPr>
          <w:rFonts w:ascii="Univers" w:hAnsi="Univers"/>
          <w:sz w:val="8"/>
        </w:rPr>
      </w:pPr>
    </w:p>
    <w:p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" filled="f" stroked="f" strokeweight="0">
                <v:textbox inset="0,0,0,0">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9v4AIAAGY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" filled="f" stroked="f" strokeweight="0">
                <v:textbox inset="0,0,0,0">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rsidR="008F5855" w:rsidRDefault="008F5855" w:rsidP="008F5855">
      <w:pPr>
        <w:rPr>
          <w:rFonts w:ascii="Arial" w:hAnsi="Arial" w:cs="Arial"/>
        </w:rPr>
      </w:pPr>
    </w:p>
    <w:p w:rsidR="008F5855" w:rsidRDefault="008F5855" w:rsidP="008F5855">
      <w:pPr>
        <w:rPr>
          <w:rFonts w:ascii="Arial" w:hAnsi="Arial" w:cs="Arial"/>
        </w:rPr>
      </w:pPr>
    </w:p>
    <w:p w:rsidR="008F5855" w:rsidRDefault="008F5855" w:rsidP="008F5855">
      <w:pPr>
        <w:tabs>
          <w:tab w:val="left" w:pos="4680"/>
        </w:tabs>
        <w:rPr>
          <w:rFonts w:ascii="Arial" w:hAnsi="Arial" w:cs="Arial"/>
        </w:rPr>
      </w:pPr>
    </w:p>
    <w:p w:rsidR="008F5855" w:rsidRDefault="008F5855" w:rsidP="008F5855">
      <w:pPr>
        <w:tabs>
          <w:tab w:val="left" w:pos="4680"/>
        </w:tabs>
        <w:rPr>
          <w:rFonts w:ascii="Arial" w:hAnsi="Arial" w:cs="Arial"/>
        </w:rPr>
      </w:pPr>
    </w:p>
    <w:p w:rsidR="008F5855" w:rsidRPr="00FC7AF8" w:rsidRDefault="008F5855" w:rsidP="008F5855">
      <w:pPr>
        <w:tabs>
          <w:tab w:val="left" w:pos="4680"/>
        </w:tabs>
        <w:rPr>
          <w:rFonts w:ascii="Arial" w:hAnsi="Arial" w:cs="Arial"/>
        </w:rPr>
      </w:pPr>
    </w:p>
    <w:p w:rsidR="009548CA" w:rsidRDefault="009548CA" w:rsidP="00742ED1"/>
    <w:p w:rsidR="005A7FAD" w:rsidRPr="005A7FAD" w:rsidRDefault="005A7FAD" w:rsidP="00302945">
      <w:pPr>
        <w:jc w:val="center"/>
        <w:rPr>
          <w:b/>
          <w:szCs w:val="24"/>
        </w:rPr>
      </w:pPr>
      <w:r w:rsidRPr="005A7FAD">
        <w:rPr>
          <w:b/>
          <w:szCs w:val="24"/>
        </w:rPr>
        <w:t>PERFORMANCE MEASURES</w:t>
      </w:r>
    </w:p>
    <w:p w:rsidR="005A7FAD" w:rsidRPr="005A7FAD" w:rsidRDefault="005A7FAD" w:rsidP="00302945">
      <w:pPr>
        <w:jc w:val="center"/>
        <w:rPr>
          <w:b/>
          <w:szCs w:val="24"/>
        </w:rPr>
      </w:pPr>
      <w:r w:rsidRPr="005A7FAD">
        <w:rPr>
          <w:b/>
          <w:szCs w:val="24"/>
        </w:rPr>
        <w:t>AND ACCOUNTABILITY</w:t>
      </w:r>
    </w:p>
    <w:p w:rsidR="00F66C1C" w:rsidRPr="00302945" w:rsidRDefault="00830A1F" w:rsidP="00302945">
      <w:pPr>
        <w:jc w:val="center"/>
        <w:rPr>
          <w:b/>
          <w:szCs w:val="24"/>
        </w:rPr>
      </w:pPr>
      <w:r w:rsidRPr="005A7FAD">
        <w:rPr>
          <w:b/>
          <w:szCs w:val="24"/>
        </w:rPr>
        <w:t>COMMITTEE</w:t>
      </w:r>
      <w:r w:rsidR="00F66C1C" w:rsidRPr="005A7FAD">
        <w:rPr>
          <w:b/>
          <w:szCs w:val="24"/>
        </w:rPr>
        <w:t xml:space="preserve"> MEETING</w:t>
      </w:r>
    </w:p>
    <w:p w:rsidR="00F66C1C" w:rsidRPr="00830A1F" w:rsidRDefault="005A7FAD" w:rsidP="00F66C1C">
      <w:pPr>
        <w:jc w:val="center"/>
        <w:rPr>
          <w:b/>
          <w:szCs w:val="24"/>
        </w:rPr>
      </w:pPr>
      <w:r>
        <w:rPr>
          <w:b/>
          <w:szCs w:val="24"/>
        </w:rPr>
        <w:t>Tuesday</w:t>
      </w:r>
      <w:r w:rsidR="00F66C1C" w:rsidRPr="00830A1F">
        <w:rPr>
          <w:b/>
          <w:szCs w:val="24"/>
        </w:rPr>
        <w:t xml:space="preserve">, </w:t>
      </w:r>
      <w:r>
        <w:rPr>
          <w:b/>
          <w:szCs w:val="24"/>
        </w:rPr>
        <w:t>February 10</w:t>
      </w:r>
      <w:r w:rsidR="00830A1F" w:rsidRPr="00830A1F">
        <w:rPr>
          <w:b/>
          <w:szCs w:val="24"/>
        </w:rPr>
        <w:t>, 202</w:t>
      </w:r>
      <w:r w:rsidR="00D8793C">
        <w:rPr>
          <w:b/>
          <w:szCs w:val="24"/>
        </w:rPr>
        <w:t>6</w:t>
      </w:r>
    </w:p>
    <w:p w:rsidR="00F66C1C" w:rsidRPr="00F66C1C" w:rsidRDefault="00830A1F" w:rsidP="00F66C1C">
      <w:pPr>
        <w:jc w:val="center"/>
        <w:rPr>
          <w:b/>
          <w:szCs w:val="24"/>
        </w:rPr>
      </w:pPr>
      <w:r w:rsidRPr="00830A1F">
        <w:rPr>
          <w:b/>
          <w:szCs w:val="24"/>
        </w:rPr>
        <w:t>1</w:t>
      </w:r>
      <w:r w:rsidR="00302945">
        <w:rPr>
          <w:b/>
          <w:szCs w:val="24"/>
        </w:rPr>
        <w:t xml:space="preserve">:00 </w:t>
      </w:r>
      <w:r w:rsidR="005A7FAD">
        <w:rPr>
          <w:b/>
          <w:szCs w:val="24"/>
        </w:rPr>
        <w:t>p</w:t>
      </w:r>
      <w:r w:rsidRPr="00830A1F">
        <w:rPr>
          <w:b/>
          <w:szCs w:val="24"/>
        </w:rPr>
        <w:t>m to 2</w:t>
      </w:r>
      <w:r w:rsidR="00F66C1C" w:rsidRPr="00830A1F">
        <w:rPr>
          <w:b/>
          <w:szCs w:val="24"/>
        </w:rPr>
        <w:t>:00 pm</w:t>
      </w:r>
    </w:p>
    <w:p w:rsidR="00F66C1C" w:rsidRPr="00F66C1C" w:rsidRDefault="00F66C1C" w:rsidP="00F66C1C">
      <w:pPr>
        <w:rPr>
          <w:szCs w:val="24"/>
        </w:rPr>
      </w:pPr>
    </w:p>
    <w:p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rsidR="00F66C1C" w:rsidRPr="00F66C1C" w:rsidRDefault="00F66C1C" w:rsidP="00F66C1C">
      <w:pPr>
        <w:rPr>
          <w:b/>
          <w:szCs w:val="24"/>
        </w:rPr>
      </w:pPr>
    </w:p>
    <w:p w:rsidR="00F66C1C" w:rsidRPr="00F66C1C" w:rsidRDefault="00F66C1C" w:rsidP="00F66C1C">
      <w:pPr>
        <w:rPr>
          <w:b/>
          <w:szCs w:val="24"/>
          <w:u w:val="single"/>
        </w:rPr>
      </w:pPr>
      <w:r w:rsidRPr="00F66C1C">
        <w:rPr>
          <w:b/>
          <w:szCs w:val="24"/>
          <w:u w:val="single"/>
        </w:rPr>
        <w:t>Members Present:</w:t>
      </w:r>
    </w:p>
    <w:p w:rsidR="00F66C1C" w:rsidRDefault="005A7FAD" w:rsidP="00F66C1C">
      <w:pPr>
        <w:rPr>
          <w:szCs w:val="24"/>
        </w:rPr>
      </w:pPr>
      <w:r>
        <w:rPr>
          <w:szCs w:val="24"/>
        </w:rPr>
        <w:t>Suzie Schulberg</w:t>
      </w:r>
    </w:p>
    <w:p w:rsidR="007D2969" w:rsidRDefault="007D2969" w:rsidP="00F66C1C">
      <w:pPr>
        <w:rPr>
          <w:szCs w:val="24"/>
        </w:rPr>
      </w:pPr>
      <w:r>
        <w:rPr>
          <w:szCs w:val="24"/>
        </w:rPr>
        <w:t>Christopher Lum Lee</w:t>
      </w:r>
    </w:p>
    <w:p w:rsidR="00825C6B" w:rsidRDefault="00825C6B" w:rsidP="00F66C1C">
      <w:pPr>
        <w:rPr>
          <w:szCs w:val="24"/>
        </w:rPr>
      </w:pPr>
      <w:r>
        <w:rPr>
          <w:szCs w:val="24"/>
        </w:rPr>
        <w:t>Carla Kobashigawa</w:t>
      </w:r>
    </w:p>
    <w:p w:rsidR="00825C6B" w:rsidRPr="005A7FAD" w:rsidRDefault="00825C6B" w:rsidP="00F66C1C">
      <w:pPr>
        <w:rPr>
          <w:szCs w:val="24"/>
        </w:rPr>
      </w:pPr>
      <w:r>
        <w:rPr>
          <w:szCs w:val="24"/>
        </w:rPr>
        <w:t>Sarah Guay</w:t>
      </w:r>
    </w:p>
    <w:p w:rsidR="005A7FAD" w:rsidRPr="00F66C1C" w:rsidRDefault="005A7FAD" w:rsidP="00F66C1C">
      <w:pPr>
        <w:rPr>
          <w:b/>
          <w:szCs w:val="24"/>
          <w:u w:val="single"/>
        </w:rPr>
      </w:pPr>
    </w:p>
    <w:p w:rsidR="00F66C1C" w:rsidRDefault="00F66C1C" w:rsidP="00F66C1C">
      <w:pPr>
        <w:rPr>
          <w:b/>
          <w:szCs w:val="24"/>
          <w:u w:val="single"/>
        </w:rPr>
      </w:pPr>
      <w:r w:rsidRPr="00F66C1C">
        <w:rPr>
          <w:b/>
          <w:szCs w:val="24"/>
          <w:u w:val="single"/>
        </w:rPr>
        <w:t>Guests:</w:t>
      </w:r>
    </w:p>
    <w:p w:rsidR="00825C6B" w:rsidRDefault="00825C6B" w:rsidP="00F66C1C">
      <w:pPr>
        <w:rPr>
          <w:szCs w:val="24"/>
        </w:rPr>
      </w:pPr>
      <w:r>
        <w:rPr>
          <w:szCs w:val="24"/>
        </w:rPr>
        <w:t>Anton Krucky,</w:t>
      </w:r>
      <w:r w:rsidR="008620BE">
        <w:rPr>
          <w:szCs w:val="24"/>
        </w:rPr>
        <w:t xml:space="preserve"> Department of Community Services, Director</w:t>
      </w:r>
    </w:p>
    <w:p w:rsidR="00F82B7D" w:rsidRDefault="00F82B7D" w:rsidP="00F66C1C">
      <w:pPr>
        <w:rPr>
          <w:szCs w:val="24"/>
        </w:rPr>
      </w:pPr>
      <w:r>
        <w:rPr>
          <w:szCs w:val="24"/>
        </w:rPr>
        <w:t>Aedward Los Banos,</w:t>
      </w:r>
      <w:r w:rsidR="008620BE">
        <w:rPr>
          <w:szCs w:val="24"/>
        </w:rPr>
        <w:t xml:space="preserve"> Department of Community Services, Deputy Director</w:t>
      </w:r>
    </w:p>
    <w:p w:rsidR="005A7FAD" w:rsidRDefault="00825C6B" w:rsidP="00F66C1C">
      <w:pPr>
        <w:rPr>
          <w:szCs w:val="24"/>
        </w:rPr>
      </w:pPr>
      <w:r>
        <w:rPr>
          <w:szCs w:val="24"/>
        </w:rPr>
        <w:t>Andrea Gaines,</w:t>
      </w:r>
      <w:r w:rsidR="008620BE">
        <w:rPr>
          <w:szCs w:val="24"/>
        </w:rPr>
        <w:t xml:space="preserve"> WorkHawaii Division, Assistant Administrator</w:t>
      </w:r>
    </w:p>
    <w:p w:rsidR="00825C6B" w:rsidRDefault="00825C6B" w:rsidP="00F66C1C">
      <w:pPr>
        <w:rPr>
          <w:szCs w:val="24"/>
        </w:rPr>
      </w:pPr>
      <w:r>
        <w:rPr>
          <w:szCs w:val="24"/>
        </w:rPr>
        <w:t>Lee Williams-Naeole,</w:t>
      </w:r>
      <w:r w:rsidR="008620BE">
        <w:rPr>
          <w:szCs w:val="24"/>
        </w:rPr>
        <w:t xml:space="preserve"> WorkHawaii Division, WIOA Title I Programs Manager</w:t>
      </w:r>
    </w:p>
    <w:p w:rsidR="00825C6B" w:rsidRPr="005A7FAD" w:rsidRDefault="00825C6B" w:rsidP="00F66C1C">
      <w:pPr>
        <w:rPr>
          <w:szCs w:val="24"/>
        </w:rPr>
      </w:pPr>
      <w:r>
        <w:rPr>
          <w:szCs w:val="24"/>
        </w:rPr>
        <w:t>Taimane Passi,</w:t>
      </w:r>
      <w:r w:rsidR="008620BE">
        <w:rPr>
          <w:szCs w:val="24"/>
        </w:rPr>
        <w:t xml:space="preserve"> American Job Center Hawaii – Oahu, One Stop Operator</w:t>
      </w:r>
    </w:p>
    <w:p w:rsidR="00F66C1C" w:rsidRPr="00F66C1C" w:rsidRDefault="00F66C1C" w:rsidP="00F66C1C">
      <w:pPr>
        <w:rPr>
          <w:b/>
          <w:szCs w:val="24"/>
          <w:u w:val="single"/>
        </w:rPr>
      </w:pPr>
    </w:p>
    <w:p w:rsidR="00F66C1C" w:rsidRPr="00F66C1C" w:rsidRDefault="00F66C1C" w:rsidP="00F66C1C">
      <w:pPr>
        <w:rPr>
          <w:b/>
          <w:szCs w:val="24"/>
          <w:u w:val="single"/>
        </w:rPr>
      </w:pPr>
      <w:r w:rsidRPr="00F66C1C">
        <w:rPr>
          <w:b/>
          <w:szCs w:val="24"/>
          <w:u w:val="single"/>
        </w:rPr>
        <w:t>Staff:</w:t>
      </w:r>
    </w:p>
    <w:p w:rsidR="00F66C1C" w:rsidRPr="00F66C1C" w:rsidRDefault="00F66C1C" w:rsidP="00F66C1C">
      <w:pPr>
        <w:rPr>
          <w:szCs w:val="24"/>
        </w:rPr>
      </w:pPr>
      <w:r w:rsidRPr="00F66C1C">
        <w:rPr>
          <w:szCs w:val="24"/>
        </w:rPr>
        <w:t>Harrison Kuranishi, Oahu Workforce Development Board, Executive Director</w:t>
      </w:r>
    </w:p>
    <w:p w:rsidR="00302945" w:rsidRDefault="00302945" w:rsidP="00302945">
      <w:pPr>
        <w:rPr>
          <w:szCs w:val="24"/>
        </w:rPr>
      </w:pPr>
      <w:r>
        <w:rPr>
          <w:szCs w:val="24"/>
        </w:rPr>
        <w:t>Lisa Pereira, Oahu Workforce Development Board, WIOA Specialist</w:t>
      </w:r>
    </w:p>
    <w:p w:rsidR="00F62D3E" w:rsidRDefault="00F62D3E" w:rsidP="00F66C1C">
      <w:pPr>
        <w:rPr>
          <w:szCs w:val="24"/>
        </w:rPr>
      </w:pPr>
      <w:r>
        <w:rPr>
          <w:szCs w:val="24"/>
        </w:rPr>
        <w:t>Sherrie Garedo, Oahu Workforce Development Board, WIOA Specialist</w:t>
      </w:r>
    </w:p>
    <w:p w:rsidR="00302945" w:rsidRDefault="00302945" w:rsidP="00F66C1C">
      <w:pPr>
        <w:rPr>
          <w:szCs w:val="24"/>
        </w:rPr>
      </w:pPr>
      <w:r>
        <w:rPr>
          <w:szCs w:val="24"/>
        </w:rPr>
        <w:t>Erin Nicole Fernandez, Oahu Workforce Development Board, WIOA Specialist</w:t>
      </w:r>
    </w:p>
    <w:p w:rsidR="00F66C1C" w:rsidRPr="00F66C1C" w:rsidRDefault="00F66C1C" w:rsidP="00F66C1C">
      <w:pPr>
        <w:rPr>
          <w:szCs w:val="24"/>
        </w:rPr>
      </w:pPr>
      <w:r w:rsidRPr="00F66C1C">
        <w:rPr>
          <w:szCs w:val="24"/>
        </w:rPr>
        <w:t>Daven Kawamura, Oahu Workforce Development Board, WIOA Specialist</w:t>
      </w:r>
    </w:p>
    <w:p w:rsidR="00F66C1C" w:rsidRPr="00F66C1C" w:rsidRDefault="00F66C1C" w:rsidP="00F66C1C">
      <w:pPr>
        <w:jc w:val="center"/>
        <w:rPr>
          <w:b/>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The </w:t>
      </w:r>
      <w:r w:rsidR="005A7FAD" w:rsidRPr="005A7FAD">
        <w:rPr>
          <w:rFonts w:eastAsiaTheme="minorHAnsi"/>
          <w:snapToGrid/>
          <w:szCs w:val="24"/>
        </w:rPr>
        <w:t>Performance Measures and Accountability</w:t>
      </w:r>
      <w:r w:rsidRPr="005A7FAD">
        <w:rPr>
          <w:rFonts w:eastAsiaTheme="minorHAnsi"/>
          <w:snapToGrid/>
          <w:szCs w:val="24"/>
        </w:rPr>
        <w:t xml:space="preserve"> Committee</w:t>
      </w:r>
      <w:r w:rsidRPr="00F66C1C">
        <w:rPr>
          <w:rFonts w:eastAsiaTheme="minorHAnsi"/>
          <w:snapToGrid/>
          <w:szCs w:val="24"/>
        </w:rPr>
        <w:t xml:space="preserve"> meeting was called to order at </w:t>
      </w:r>
      <w:r w:rsidR="005A7FAD" w:rsidRPr="00825C6B">
        <w:rPr>
          <w:rFonts w:eastAsiaTheme="minorHAnsi"/>
          <w:snapToGrid/>
          <w:szCs w:val="24"/>
        </w:rPr>
        <w:t>1</w:t>
      </w:r>
      <w:r w:rsidRPr="00825C6B">
        <w:rPr>
          <w:rFonts w:eastAsiaTheme="minorHAnsi"/>
          <w:snapToGrid/>
          <w:szCs w:val="24"/>
        </w:rPr>
        <w:t>:</w:t>
      </w:r>
      <w:r w:rsidR="00825C6B" w:rsidRPr="00825C6B">
        <w:rPr>
          <w:rFonts w:eastAsiaTheme="minorHAnsi"/>
          <w:snapToGrid/>
          <w:szCs w:val="24"/>
        </w:rPr>
        <w:t>01</w:t>
      </w:r>
      <w:r w:rsidRPr="00825C6B">
        <w:rPr>
          <w:rFonts w:eastAsiaTheme="minorHAnsi"/>
          <w:snapToGrid/>
          <w:szCs w:val="24"/>
        </w:rPr>
        <w:t xml:space="preserve"> </w:t>
      </w:r>
      <w:r w:rsidRPr="005A7FAD">
        <w:rPr>
          <w:rFonts w:eastAsiaTheme="minorHAnsi"/>
          <w:snapToGrid/>
          <w:szCs w:val="24"/>
        </w:rPr>
        <w:t xml:space="preserve">pm by Committee Chair </w:t>
      </w:r>
      <w:r w:rsidR="005A7FAD">
        <w:rPr>
          <w:rFonts w:eastAsiaTheme="minorHAnsi"/>
          <w:snapToGrid/>
          <w:szCs w:val="24"/>
        </w:rPr>
        <w:t>Suzie Schulberg</w:t>
      </w:r>
      <w:r w:rsidRPr="00F66C1C">
        <w:rPr>
          <w:rFonts w:eastAsiaTheme="minorHAnsi"/>
          <w:snapToGrid/>
          <w:szCs w:val="24"/>
        </w:rPr>
        <w:t>.</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rsidR="0053580C" w:rsidRDefault="0053580C" w:rsidP="0053580C">
      <w:pPr>
        <w:ind w:left="1080"/>
      </w:pPr>
      <w:r w:rsidRPr="00D829A0">
        <w:t xml:space="preserve">(Note: Per the State OIP, a quorum of members must be visible throughout the public portion of the meeting, but so long as that requirement is met, Oahu Workforce Development Board (OWDB) members are allowed to attend board meetings on audio only. Their votes will still count, and their attendance will also count toward quorum. However, board members must state their names clearly during introductions </w:t>
      </w:r>
      <w:r w:rsidRPr="00D829A0">
        <w:lastRenderedPageBreak/>
        <w:t>and before all of their comments during the meeting.)</w:t>
      </w:r>
    </w:p>
    <w:p w:rsidR="00F66C1C" w:rsidRPr="00F66C1C" w:rsidRDefault="00F66C1C" w:rsidP="0053580C">
      <w:pPr>
        <w:widowControl/>
        <w:spacing w:after="160"/>
        <w:contextualSpacing/>
        <w:rPr>
          <w:rFonts w:eastAsiaTheme="minorHAnsi"/>
          <w:b/>
          <w:snapToGrid/>
          <w:szCs w:val="24"/>
        </w:rPr>
      </w:pPr>
    </w:p>
    <w:p w:rsidR="00D8793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Public Testimony Relating to Agenda Items</w:t>
      </w:r>
    </w:p>
    <w:p w:rsidR="005A7FAD" w:rsidRPr="005A7FAD" w:rsidRDefault="005A7FAD" w:rsidP="005A7FAD">
      <w:pPr>
        <w:widowControl/>
        <w:spacing w:after="160"/>
        <w:ind w:left="1080"/>
        <w:contextualSpacing/>
        <w:rPr>
          <w:rFonts w:eastAsiaTheme="minorHAnsi"/>
          <w:snapToGrid/>
          <w:szCs w:val="24"/>
        </w:rPr>
      </w:pPr>
      <w:r>
        <w:rPr>
          <w:rFonts w:eastAsiaTheme="minorHAnsi"/>
          <w:snapToGrid/>
          <w:szCs w:val="24"/>
        </w:rPr>
        <w:t>There was no public testimony relating to agenda items.</w:t>
      </w:r>
    </w:p>
    <w:p w:rsidR="00D8793C" w:rsidRDefault="00D8793C" w:rsidP="00D8793C">
      <w:pPr>
        <w:widowControl/>
        <w:spacing w:after="160"/>
        <w:ind w:left="1080"/>
        <w:contextualSpacing/>
        <w:rPr>
          <w:rFonts w:eastAsiaTheme="minorHAnsi"/>
          <w:b/>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 xml:space="preserve">Approval of </w:t>
      </w:r>
      <w:r w:rsidR="005A7FAD">
        <w:rPr>
          <w:rFonts w:eastAsiaTheme="minorHAnsi"/>
          <w:b/>
          <w:snapToGrid/>
          <w:szCs w:val="24"/>
        </w:rPr>
        <w:t xml:space="preserve">November 18, 2025 Meeting </w:t>
      </w:r>
      <w:r w:rsidRPr="00F66C1C">
        <w:rPr>
          <w:rFonts w:eastAsiaTheme="minorHAnsi"/>
          <w:b/>
          <w:snapToGrid/>
          <w:szCs w:val="24"/>
        </w:rPr>
        <w:t>Minutes</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5A7FAD">
        <w:rPr>
          <w:rFonts w:eastAsiaTheme="minorHAnsi"/>
          <w:snapToGrid/>
          <w:szCs w:val="24"/>
        </w:rPr>
        <w:t>Suzie Schulberg</w:t>
      </w:r>
      <w:r w:rsidRPr="00F66C1C">
        <w:rPr>
          <w:rFonts w:eastAsiaTheme="minorHAnsi"/>
          <w:snapToGrid/>
          <w:szCs w:val="24"/>
        </w:rPr>
        <w:t xml:space="preserve"> requested a motion to approve the minutes for the </w:t>
      </w:r>
      <w:r w:rsidR="005A7FAD">
        <w:rPr>
          <w:rFonts w:eastAsiaTheme="minorHAnsi"/>
          <w:snapToGrid/>
          <w:szCs w:val="24"/>
        </w:rPr>
        <w:t>November 18, 2025</w:t>
      </w:r>
      <w:r w:rsidRPr="00F66C1C">
        <w:rPr>
          <w:rFonts w:eastAsiaTheme="minorHAnsi"/>
          <w:snapToGrid/>
          <w:szCs w:val="24"/>
        </w:rPr>
        <w:t xml:space="preserve">, meeting. </w:t>
      </w:r>
      <w:r w:rsidR="00825C6B">
        <w:rPr>
          <w:rFonts w:eastAsiaTheme="minorHAnsi"/>
          <w:snapToGrid/>
          <w:szCs w:val="24"/>
        </w:rPr>
        <w:t>Carla Kobashigawa</w:t>
      </w:r>
      <w:r w:rsidRPr="00F66C1C">
        <w:rPr>
          <w:rFonts w:eastAsiaTheme="minorHAnsi"/>
          <w:snapToGrid/>
          <w:szCs w:val="24"/>
        </w:rPr>
        <w:t xml:space="preserve"> moved to approve the minutes. </w:t>
      </w:r>
      <w:r w:rsidR="00825C6B">
        <w:rPr>
          <w:rFonts w:eastAsiaTheme="minorHAnsi"/>
          <w:snapToGrid/>
          <w:szCs w:val="24"/>
        </w:rPr>
        <w:t>Christopher Lum Lee</w:t>
      </w:r>
      <w:r w:rsidRPr="00F66C1C">
        <w:rPr>
          <w:rFonts w:eastAsiaTheme="minorHAnsi"/>
          <w:snapToGrid/>
          <w:szCs w:val="24"/>
        </w:rPr>
        <w:t xml:space="preserve"> seconded the motion. There were no objections or abstentions. The minutes were unanimously approved.</w:t>
      </w:r>
    </w:p>
    <w:p w:rsidR="00F66C1C" w:rsidRPr="00F66C1C" w:rsidRDefault="00F66C1C" w:rsidP="00F66C1C">
      <w:pPr>
        <w:widowControl/>
        <w:spacing w:after="160"/>
        <w:ind w:left="1080"/>
        <w:contextualSpacing/>
        <w:rPr>
          <w:rFonts w:eastAsiaTheme="minorHAnsi"/>
          <w:snapToGrid/>
          <w:szCs w:val="24"/>
        </w:rPr>
      </w:pPr>
    </w:p>
    <w:p w:rsidR="005A7FAD" w:rsidRPr="005A7FAD" w:rsidRDefault="005A7FAD" w:rsidP="00F66C1C">
      <w:pPr>
        <w:widowControl/>
        <w:numPr>
          <w:ilvl w:val="0"/>
          <w:numId w:val="1"/>
        </w:numPr>
        <w:spacing w:after="160"/>
        <w:contextualSpacing/>
        <w:rPr>
          <w:rFonts w:eastAsiaTheme="minorHAnsi"/>
          <w:b/>
          <w:snapToGrid/>
          <w:szCs w:val="24"/>
        </w:rPr>
      </w:pPr>
      <w:r w:rsidRPr="005A7FAD">
        <w:rPr>
          <w:rFonts w:eastAsiaTheme="minorHAnsi"/>
          <w:b/>
          <w:snapToGrid/>
          <w:szCs w:val="24"/>
        </w:rPr>
        <w:t>Program Year (PY) 25 Quarter Two Data</w:t>
      </w:r>
    </w:p>
    <w:p w:rsidR="005A7FAD" w:rsidRDefault="005A7FAD" w:rsidP="005A7FAD">
      <w:pPr>
        <w:widowControl/>
        <w:spacing w:after="160"/>
        <w:ind w:left="1080"/>
        <w:contextualSpacing/>
        <w:rPr>
          <w:rFonts w:eastAsiaTheme="minorHAnsi"/>
          <w:snapToGrid/>
          <w:szCs w:val="24"/>
        </w:rPr>
      </w:pPr>
      <w:r w:rsidRPr="005A7FAD">
        <w:rPr>
          <w:rFonts w:eastAsiaTheme="minorHAnsi"/>
          <w:snapToGrid/>
          <w:szCs w:val="24"/>
        </w:rPr>
        <w:t>Harri</w:t>
      </w:r>
      <w:r w:rsidR="00825C6B">
        <w:rPr>
          <w:rFonts w:eastAsiaTheme="minorHAnsi"/>
          <w:snapToGrid/>
          <w:szCs w:val="24"/>
        </w:rPr>
        <w:t>son Kuranishi, Executive Director for OWDB, shared the performance data for PY20 – 25 Quarter two data. The document can be found at the following link:</w:t>
      </w:r>
    </w:p>
    <w:p w:rsidR="00825C6B" w:rsidRDefault="005E54EE" w:rsidP="005A7FAD">
      <w:pPr>
        <w:widowControl/>
        <w:spacing w:after="160"/>
        <w:ind w:left="1080"/>
        <w:contextualSpacing/>
        <w:rPr>
          <w:rFonts w:eastAsiaTheme="minorHAnsi"/>
          <w:snapToGrid/>
          <w:szCs w:val="24"/>
        </w:rPr>
      </w:pPr>
      <w:hyperlink r:id="rId11" w:history="1">
        <w:r w:rsidR="00E52B81" w:rsidRPr="00511A85">
          <w:rPr>
            <w:rStyle w:val="Hyperlink"/>
            <w:rFonts w:eastAsiaTheme="minorHAnsi"/>
            <w:snapToGrid/>
            <w:szCs w:val="24"/>
          </w:rPr>
          <w:t>https://oahuwdb.com/wp-content/uploads/2026/02/PY-Data.pdf</w:t>
        </w:r>
      </w:hyperlink>
    </w:p>
    <w:p w:rsidR="00E52B81" w:rsidRDefault="00E52B81" w:rsidP="005A7FAD">
      <w:pPr>
        <w:widowControl/>
        <w:spacing w:after="160"/>
        <w:ind w:left="1080"/>
        <w:contextualSpacing/>
        <w:rPr>
          <w:rFonts w:eastAsiaTheme="minorHAnsi"/>
          <w:snapToGrid/>
          <w:szCs w:val="24"/>
        </w:rPr>
      </w:pPr>
    </w:p>
    <w:p w:rsidR="00E52B81" w:rsidRDefault="00E52B81" w:rsidP="005A7FAD">
      <w:pPr>
        <w:widowControl/>
        <w:spacing w:after="160"/>
        <w:ind w:left="1080"/>
        <w:contextualSpacing/>
        <w:rPr>
          <w:rFonts w:eastAsiaTheme="minorHAnsi"/>
          <w:snapToGrid/>
          <w:szCs w:val="24"/>
        </w:rPr>
      </w:pPr>
      <w:r>
        <w:rPr>
          <w:rFonts w:eastAsiaTheme="minorHAnsi"/>
          <w:snapToGrid/>
          <w:szCs w:val="24"/>
        </w:rPr>
        <w:t xml:space="preserve">Harrison Kuranishi noted that the PY25 Quarter Two data is reflected in the “2025 (2)” </w:t>
      </w:r>
      <w:r w:rsidR="007B3106">
        <w:rPr>
          <w:rFonts w:eastAsiaTheme="minorHAnsi"/>
          <w:snapToGrid/>
          <w:szCs w:val="24"/>
        </w:rPr>
        <w:t>column</w:t>
      </w:r>
      <w:r>
        <w:rPr>
          <w:rFonts w:eastAsiaTheme="minorHAnsi"/>
          <w:snapToGrid/>
          <w:szCs w:val="24"/>
        </w:rPr>
        <w:t>. The information was pulled directly from the service provider’s presentation at the last full board meeting.</w:t>
      </w:r>
    </w:p>
    <w:p w:rsidR="00E52B81" w:rsidRDefault="00E52B81" w:rsidP="005A7FAD">
      <w:pPr>
        <w:widowControl/>
        <w:spacing w:after="160"/>
        <w:ind w:left="1080"/>
        <w:contextualSpacing/>
        <w:rPr>
          <w:rFonts w:eastAsiaTheme="minorHAnsi"/>
          <w:snapToGrid/>
          <w:szCs w:val="24"/>
        </w:rPr>
      </w:pPr>
    </w:p>
    <w:p w:rsidR="00825C6B" w:rsidRPr="00622EBC" w:rsidRDefault="00825C6B" w:rsidP="00622EBC">
      <w:pPr>
        <w:widowControl/>
        <w:ind w:left="1080"/>
        <w:contextualSpacing/>
        <w:rPr>
          <w:rFonts w:eastAsiaTheme="minorHAnsi"/>
          <w:snapToGrid/>
          <w:szCs w:val="24"/>
        </w:rPr>
      </w:pPr>
      <w:r>
        <w:rPr>
          <w:rFonts w:eastAsiaTheme="minorHAnsi"/>
          <w:snapToGrid/>
          <w:szCs w:val="24"/>
        </w:rPr>
        <w:t xml:space="preserve">Suzie Schulberg </w:t>
      </w:r>
      <w:r w:rsidR="00E52B81">
        <w:rPr>
          <w:rFonts w:eastAsiaTheme="minorHAnsi"/>
          <w:snapToGrid/>
          <w:szCs w:val="24"/>
        </w:rPr>
        <w:t xml:space="preserve">wanted clarification specifically on the Measurable Skill Gains (MSG) performance metric, and what is causing the </w:t>
      </w:r>
      <w:r w:rsidR="005A331A">
        <w:rPr>
          <w:rFonts w:eastAsiaTheme="minorHAnsi"/>
          <w:snapToGrid/>
          <w:szCs w:val="24"/>
        </w:rPr>
        <w:t xml:space="preserve">consistent failure to meet the negotiated rate. The </w:t>
      </w:r>
      <w:r w:rsidR="00E52B81">
        <w:rPr>
          <w:rFonts w:eastAsiaTheme="minorHAnsi"/>
          <w:snapToGrid/>
          <w:szCs w:val="24"/>
        </w:rPr>
        <w:t xml:space="preserve">metric </w:t>
      </w:r>
      <w:r w:rsidR="005A331A">
        <w:rPr>
          <w:rFonts w:eastAsiaTheme="minorHAnsi"/>
          <w:snapToGrid/>
          <w:szCs w:val="24"/>
        </w:rPr>
        <w:t>has not been met</w:t>
      </w:r>
      <w:r w:rsidR="00E52B81">
        <w:rPr>
          <w:rFonts w:eastAsiaTheme="minorHAnsi"/>
          <w:snapToGrid/>
          <w:szCs w:val="24"/>
        </w:rPr>
        <w:t xml:space="preserve"> for the last five years for the Adult </w:t>
      </w:r>
      <w:r w:rsidR="00E52B81" w:rsidRPr="00622EBC">
        <w:rPr>
          <w:rFonts w:eastAsiaTheme="minorHAnsi"/>
          <w:snapToGrid/>
          <w:szCs w:val="24"/>
        </w:rPr>
        <w:t xml:space="preserve">program, four years for the Dislocated Worker (DW) program, and </w:t>
      </w:r>
      <w:r w:rsidR="007B3106" w:rsidRPr="00622EBC">
        <w:rPr>
          <w:rFonts w:eastAsiaTheme="minorHAnsi"/>
          <w:snapToGrid/>
          <w:szCs w:val="24"/>
        </w:rPr>
        <w:t>five out of six years for the Youth Program.</w:t>
      </w:r>
    </w:p>
    <w:p w:rsidR="00622EBC" w:rsidRDefault="00622EBC" w:rsidP="00622EBC">
      <w:pPr>
        <w:pStyle w:val="ListParagraph"/>
        <w:numPr>
          <w:ilvl w:val="0"/>
          <w:numId w:val="3"/>
        </w:numPr>
        <w:spacing w:after="0"/>
        <w:rPr>
          <w:rFonts w:ascii="Times New Roman" w:hAnsi="Times New Roman" w:cs="Times New Roman"/>
          <w:sz w:val="24"/>
          <w:szCs w:val="24"/>
        </w:rPr>
      </w:pPr>
      <w:r w:rsidRPr="00622EBC">
        <w:rPr>
          <w:rFonts w:ascii="Times New Roman" w:hAnsi="Times New Roman" w:cs="Times New Roman"/>
          <w:sz w:val="24"/>
          <w:szCs w:val="24"/>
        </w:rPr>
        <w:t>Harrison Kuranishi noted that the MSG metric is the only performance metric that i</w:t>
      </w:r>
      <w:r w:rsidR="00B927C9">
        <w:rPr>
          <w:rFonts w:ascii="Times New Roman" w:hAnsi="Times New Roman" w:cs="Times New Roman"/>
          <w:sz w:val="24"/>
          <w:szCs w:val="24"/>
        </w:rPr>
        <w:t>s current data, reflecting real-</w:t>
      </w:r>
      <w:r w:rsidRPr="00622EBC">
        <w:rPr>
          <w:rFonts w:ascii="Times New Roman" w:hAnsi="Times New Roman" w:cs="Times New Roman"/>
          <w:sz w:val="24"/>
          <w:szCs w:val="24"/>
        </w:rPr>
        <w:t>time data. All other performance metrics are after exit</w:t>
      </w:r>
      <w:r>
        <w:rPr>
          <w:rFonts w:ascii="Times New Roman" w:hAnsi="Times New Roman" w:cs="Times New Roman"/>
          <w:sz w:val="24"/>
          <w:szCs w:val="24"/>
        </w:rPr>
        <w:t>, which means participants must close out first to count in the data.</w:t>
      </w:r>
    </w:p>
    <w:p w:rsidR="00F52F88" w:rsidRDefault="00F52F88" w:rsidP="00F52F88">
      <w:pPr>
        <w:pStyle w:val="ListParagraph"/>
        <w:spacing w:after="0"/>
        <w:ind w:left="1800"/>
        <w:rPr>
          <w:rFonts w:ascii="Times New Roman" w:hAnsi="Times New Roman" w:cs="Times New Roman"/>
          <w:sz w:val="24"/>
          <w:szCs w:val="24"/>
        </w:rPr>
      </w:pPr>
    </w:p>
    <w:p w:rsidR="00F52F88" w:rsidRDefault="00F52F88" w:rsidP="00F52F88">
      <w:pPr>
        <w:ind w:left="1080"/>
        <w:rPr>
          <w:szCs w:val="24"/>
        </w:rPr>
      </w:pPr>
      <w:r w:rsidRPr="00F52F88">
        <w:rPr>
          <w:szCs w:val="24"/>
        </w:rPr>
        <w:t>Suzie Schulberg asked if MSG’s should be added to the participant file in real time. Harrison noted that the MSG’s are tied to the Individual Employment Plan, so any benchmarks or tests.</w:t>
      </w:r>
    </w:p>
    <w:p w:rsidR="00F52F88" w:rsidRDefault="00F52F88" w:rsidP="00F52F88">
      <w:pPr>
        <w:pStyle w:val="ListParagraph"/>
        <w:numPr>
          <w:ilvl w:val="0"/>
          <w:numId w:val="3"/>
        </w:numPr>
        <w:rPr>
          <w:rFonts w:ascii="Times New Roman" w:hAnsi="Times New Roman" w:cs="Times New Roman"/>
          <w:sz w:val="24"/>
          <w:szCs w:val="24"/>
        </w:rPr>
      </w:pPr>
      <w:r w:rsidRPr="00F52F88">
        <w:rPr>
          <w:rFonts w:ascii="Times New Roman" w:hAnsi="Times New Roman" w:cs="Times New Roman"/>
          <w:sz w:val="24"/>
          <w:szCs w:val="24"/>
        </w:rPr>
        <w:t>Harrison shared that during a meeting with Leina‘ala Nakamura, Administrator of the WorkHawaii Division, and during the meeting it was stated that MSG’s are not put in until the participant receives their credential.</w:t>
      </w:r>
    </w:p>
    <w:p w:rsidR="00F52F88" w:rsidRDefault="00F52F88" w:rsidP="00F52F88">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Carla Kobashigawa </w:t>
      </w:r>
      <w:r w:rsidR="00192FDB">
        <w:rPr>
          <w:rFonts w:ascii="Times New Roman" w:hAnsi="Times New Roman" w:cs="Times New Roman"/>
          <w:sz w:val="24"/>
          <w:szCs w:val="24"/>
        </w:rPr>
        <w:t>wanted clarification on why the MSG’s that are accrued along the path to a credential are not being inputted. Carla also noted that training has already been provided to the three WIOA Title I programs.</w:t>
      </w:r>
    </w:p>
    <w:p w:rsidR="005348EA" w:rsidRDefault="005348EA" w:rsidP="00F52F88">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Carla wanted clarification on the reason for the low percentage in MSG’s and asked if it’s attributed to entering only upon receiving a credential and only certain MSG’s are deemed “enterable”.</w:t>
      </w:r>
    </w:p>
    <w:p w:rsidR="005A7FAD" w:rsidRDefault="005348EA" w:rsidP="005348EA">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Harrison noted that he pulled a report on HireNet Hawaii that notated the category and amount of individuals that counted in the report for the MSG performance metric.</w:t>
      </w:r>
    </w:p>
    <w:p w:rsidR="009B154E" w:rsidRDefault="009B154E" w:rsidP="009B154E">
      <w:pPr>
        <w:ind w:left="1080"/>
        <w:rPr>
          <w:rFonts w:eastAsiaTheme="minorHAnsi"/>
          <w:snapToGrid/>
          <w:szCs w:val="24"/>
        </w:rPr>
      </w:pPr>
      <w:r>
        <w:rPr>
          <w:rFonts w:eastAsiaTheme="minorHAnsi"/>
          <w:snapToGrid/>
          <w:szCs w:val="24"/>
        </w:rPr>
        <w:t xml:space="preserve">Suzie Schulberg wanted clarification from someone </w:t>
      </w:r>
      <w:r w:rsidR="0030481B">
        <w:rPr>
          <w:rFonts w:eastAsiaTheme="minorHAnsi"/>
          <w:snapToGrid/>
          <w:szCs w:val="24"/>
        </w:rPr>
        <w:t>on</w:t>
      </w:r>
      <w:r>
        <w:rPr>
          <w:rFonts w:eastAsiaTheme="minorHAnsi"/>
          <w:snapToGrid/>
          <w:szCs w:val="24"/>
        </w:rPr>
        <w:t xml:space="preserve"> the One Stop Operator (OSO) staff </w:t>
      </w:r>
      <w:r w:rsidR="0039224D">
        <w:rPr>
          <w:rFonts w:eastAsiaTheme="minorHAnsi"/>
          <w:snapToGrid/>
          <w:szCs w:val="24"/>
        </w:rPr>
        <w:t>as to</w:t>
      </w:r>
      <w:r>
        <w:rPr>
          <w:rFonts w:eastAsiaTheme="minorHAnsi"/>
          <w:snapToGrid/>
          <w:szCs w:val="24"/>
        </w:rPr>
        <w:t xml:space="preserve"> where the disconnect for the MSG percentage is.</w:t>
      </w:r>
    </w:p>
    <w:p w:rsidR="009B154E" w:rsidRDefault="009B154E" w:rsidP="009B154E">
      <w:pPr>
        <w:pStyle w:val="ListParagraph"/>
        <w:numPr>
          <w:ilvl w:val="0"/>
          <w:numId w:val="3"/>
        </w:numPr>
        <w:rPr>
          <w:rFonts w:ascii="Times New Roman" w:hAnsi="Times New Roman" w:cs="Times New Roman"/>
          <w:sz w:val="24"/>
          <w:szCs w:val="24"/>
        </w:rPr>
      </w:pPr>
      <w:r w:rsidRPr="0030481B">
        <w:rPr>
          <w:rFonts w:ascii="Times New Roman" w:hAnsi="Times New Roman" w:cs="Times New Roman"/>
          <w:sz w:val="24"/>
          <w:szCs w:val="24"/>
        </w:rPr>
        <w:lastRenderedPageBreak/>
        <w:t xml:space="preserve">Andrea Gaines, Assistant Administrator for the WorkHawaii Division, who was previously in the OSO role noted that Taimane Passi </w:t>
      </w:r>
      <w:r w:rsidR="0030481B" w:rsidRPr="0030481B">
        <w:rPr>
          <w:rFonts w:ascii="Times New Roman" w:hAnsi="Times New Roman" w:cs="Times New Roman"/>
          <w:sz w:val="24"/>
          <w:szCs w:val="24"/>
        </w:rPr>
        <w:t xml:space="preserve">is </w:t>
      </w:r>
      <w:r w:rsidR="00E073A5">
        <w:rPr>
          <w:rFonts w:ascii="Times New Roman" w:hAnsi="Times New Roman" w:cs="Times New Roman"/>
          <w:sz w:val="24"/>
          <w:szCs w:val="24"/>
        </w:rPr>
        <w:t xml:space="preserve">now </w:t>
      </w:r>
      <w:r w:rsidR="0030481B" w:rsidRPr="0030481B">
        <w:rPr>
          <w:rFonts w:ascii="Times New Roman" w:hAnsi="Times New Roman" w:cs="Times New Roman"/>
          <w:sz w:val="24"/>
          <w:szCs w:val="24"/>
        </w:rPr>
        <w:t>the OSO.</w:t>
      </w:r>
      <w:r w:rsidR="0030481B">
        <w:rPr>
          <w:rFonts w:ascii="Times New Roman" w:hAnsi="Times New Roman" w:cs="Times New Roman"/>
          <w:sz w:val="24"/>
          <w:szCs w:val="24"/>
        </w:rPr>
        <w:t xml:space="preserve"> She noted that as far as far as she knows the MSG’s are input as soon as they are received.</w:t>
      </w:r>
    </w:p>
    <w:p w:rsidR="0030481B" w:rsidRDefault="0030481B" w:rsidP="0030481B">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She gave the example of the General Education Diploma (GED), if the participant completes one of the </w:t>
      </w:r>
      <w:r w:rsidR="003E1860">
        <w:rPr>
          <w:rFonts w:ascii="Times New Roman" w:hAnsi="Times New Roman" w:cs="Times New Roman"/>
          <w:sz w:val="24"/>
          <w:szCs w:val="24"/>
        </w:rPr>
        <w:t>book</w:t>
      </w:r>
      <w:r w:rsidR="00E073A5">
        <w:rPr>
          <w:rFonts w:ascii="Times New Roman" w:hAnsi="Times New Roman" w:cs="Times New Roman"/>
          <w:sz w:val="24"/>
          <w:szCs w:val="24"/>
        </w:rPr>
        <w:t>s that</w:t>
      </w:r>
      <w:r w:rsidR="003E1860">
        <w:rPr>
          <w:rFonts w:ascii="Times New Roman" w:hAnsi="Times New Roman" w:cs="Times New Roman"/>
          <w:sz w:val="24"/>
          <w:szCs w:val="24"/>
        </w:rPr>
        <w:t xml:space="preserve"> would result in an MSG, however the participant may not complete a book on the first attempt. </w:t>
      </w:r>
    </w:p>
    <w:p w:rsidR="00E073A5" w:rsidRDefault="00E073A5" w:rsidP="00E073A5">
      <w:pPr>
        <w:ind w:left="1080"/>
        <w:rPr>
          <w:szCs w:val="24"/>
        </w:rPr>
      </w:pPr>
      <w:r>
        <w:rPr>
          <w:szCs w:val="24"/>
        </w:rPr>
        <w:t>Sarah Guay wanted clarity on if the MSG performance metric is a real-time data point unlike the other performance metrics where they are after exit.</w:t>
      </w:r>
    </w:p>
    <w:p w:rsidR="00E073A5" w:rsidRPr="00B927C9" w:rsidRDefault="00E073A5" w:rsidP="00E073A5">
      <w:pPr>
        <w:pStyle w:val="ListParagraph"/>
        <w:numPr>
          <w:ilvl w:val="0"/>
          <w:numId w:val="3"/>
        </w:numPr>
        <w:rPr>
          <w:szCs w:val="24"/>
        </w:rPr>
      </w:pPr>
      <w:r>
        <w:rPr>
          <w:rFonts w:ascii="Times New Roman" w:hAnsi="Times New Roman" w:cs="Times New Roman"/>
          <w:sz w:val="24"/>
          <w:szCs w:val="24"/>
        </w:rPr>
        <w:t>Andrea Gaines confirmed that the MSG performance metric is a real-time data point, she noted that it does vary based on when the performance metric is pulled.</w:t>
      </w:r>
    </w:p>
    <w:p w:rsidR="00A67A4C" w:rsidRDefault="00B927C9" w:rsidP="00A67A4C">
      <w:pPr>
        <w:ind w:left="1080"/>
        <w:rPr>
          <w:szCs w:val="24"/>
        </w:rPr>
      </w:pPr>
      <w:r w:rsidRPr="00B927C9">
        <w:rPr>
          <w:szCs w:val="24"/>
        </w:rPr>
        <w:t xml:space="preserve">Carla Kobashigawa noted the report that Harrison Kuranishi had </w:t>
      </w:r>
      <w:r>
        <w:rPr>
          <w:szCs w:val="24"/>
        </w:rPr>
        <w:t>pulled that noted the categories and identified individuals for the MSG performance metric.</w:t>
      </w:r>
      <w:r w:rsidR="00A67A4C">
        <w:rPr>
          <w:szCs w:val="24"/>
        </w:rPr>
        <w:t xml:space="preserve"> Harrison shared the report: </w:t>
      </w:r>
      <w:hyperlink r:id="rId12" w:history="1">
        <w:r w:rsidR="00A67A4C" w:rsidRPr="001A53B1">
          <w:rPr>
            <w:rStyle w:val="Hyperlink"/>
            <w:szCs w:val="24"/>
          </w:rPr>
          <w:t>https://oahuwdb.com/wp-content/uploads/2026/03/9169_MSG.pdf</w:t>
        </w:r>
      </w:hyperlink>
      <w:r w:rsidR="00A67A4C">
        <w:rPr>
          <w:szCs w:val="24"/>
        </w:rPr>
        <w:t>.</w:t>
      </w:r>
    </w:p>
    <w:p w:rsidR="00A67A4C" w:rsidRPr="00A67A4C" w:rsidRDefault="00A67A4C" w:rsidP="00A67A4C">
      <w:pPr>
        <w:pStyle w:val="ListParagraph"/>
        <w:numPr>
          <w:ilvl w:val="0"/>
          <w:numId w:val="3"/>
        </w:numPr>
        <w:rPr>
          <w:szCs w:val="24"/>
        </w:rPr>
      </w:pPr>
      <w:r>
        <w:rPr>
          <w:rFonts w:ascii="Times New Roman" w:hAnsi="Times New Roman" w:cs="Times New Roman"/>
          <w:sz w:val="24"/>
          <w:szCs w:val="24"/>
        </w:rPr>
        <w:t xml:space="preserve">Carla noted that per the report, 140 out of 176 reported individuals are in a single category, with the rest of the categories having the following amounts: 28, 5, 2, and 1. </w:t>
      </w:r>
    </w:p>
    <w:p w:rsidR="00A67A4C" w:rsidRPr="00A67A4C" w:rsidRDefault="00A67A4C" w:rsidP="00A67A4C">
      <w:pPr>
        <w:pStyle w:val="ListParagraph"/>
        <w:numPr>
          <w:ilvl w:val="0"/>
          <w:numId w:val="3"/>
        </w:numPr>
        <w:rPr>
          <w:szCs w:val="24"/>
        </w:rPr>
      </w:pPr>
      <w:r>
        <w:rPr>
          <w:rFonts w:ascii="Times New Roman" w:hAnsi="Times New Roman" w:cs="Times New Roman"/>
          <w:sz w:val="24"/>
          <w:szCs w:val="24"/>
        </w:rPr>
        <w:t xml:space="preserve">Carla also noted that the first category, “Achievement of at least one educational functioning level of a participant who is receiving educational instruction below the postsecondary level”, indicates one individual that counted in the MSG performance metric.  </w:t>
      </w:r>
    </w:p>
    <w:p w:rsidR="009B154E" w:rsidRPr="00DE7E40" w:rsidRDefault="00A67A4C" w:rsidP="00DE7E40">
      <w:pPr>
        <w:pStyle w:val="ListParagraph"/>
        <w:numPr>
          <w:ilvl w:val="1"/>
          <w:numId w:val="3"/>
        </w:numPr>
        <w:rPr>
          <w:szCs w:val="24"/>
        </w:rPr>
      </w:pPr>
      <w:r>
        <w:rPr>
          <w:rFonts w:ascii="Times New Roman" w:hAnsi="Times New Roman" w:cs="Times New Roman"/>
          <w:sz w:val="24"/>
          <w:szCs w:val="24"/>
        </w:rPr>
        <w:t>Carla inquired if the discussion revolving the GED would fall into this category and if so, why was there only one individual who was counted.</w:t>
      </w:r>
    </w:p>
    <w:p w:rsidR="005A7FAD" w:rsidRPr="00DE7E40" w:rsidRDefault="005A7FAD" w:rsidP="00F66C1C">
      <w:pPr>
        <w:widowControl/>
        <w:numPr>
          <w:ilvl w:val="0"/>
          <w:numId w:val="1"/>
        </w:numPr>
        <w:spacing w:after="160"/>
        <w:contextualSpacing/>
        <w:rPr>
          <w:rFonts w:eastAsiaTheme="minorHAnsi"/>
          <w:b/>
          <w:snapToGrid/>
          <w:szCs w:val="24"/>
        </w:rPr>
      </w:pPr>
      <w:r w:rsidRPr="00DE7E40">
        <w:rPr>
          <w:rFonts w:eastAsiaTheme="minorHAnsi"/>
          <w:b/>
          <w:snapToGrid/>
          <w:szCs w:val="24"/>
        </w:rPr>
        <w:t>PY20 – 24 Workforce Innovation and Opportunity Act Data Review</w:t>
      </w:r>
    </w:p>
    <w:p w:rsidR="005A7FAD" w:rsidRDefault="00DE7E40" w:rsidP="00C10E25">
      <w:pPr>
        <w:widowControl/>
        <w:ind w:left="1080"/>
        <w:contextualSpacing/>
        <w:rPr>
          <w:rFonts w:eastAsiaTheme="minorHAnsi"/>
          <w:snapToGrid/>
          <w:szCs w:val="24"/>
        </w:rPr>
      </w:pPr>
      <w:r w:rsidRPr="00DE7E40">
        <w:rPr>
          <w:rFonts w:eastAsiaTheme="minorHAnsi"/>
          <w:snapToGrid/>
          <w:szCs w:val="24"/>
        </w:rPr>
        <w:t xml:space="preserve">Based on the data </w:t>
      </w:r>
      <w:r>
        <w:rPr>
          <w:rFonts w:eastAsiaTheme="minorHAnsi"/>
          <w:snapToGrid/>
          <w:szCs w:val="24"/>
        </w:rPr>
        <w:t xml:space="preserve">that was </w:t>
      </w:r>
      <w:r w:rsidRPr="00DE7E40">
        <w:rPr>
          <w:rFonts w:eastAsiaTheme="minorHAnsi"/>
          <w:snapToGrid/>
          <w:szCs w:val="24"/>
        </w:rPr>
        <w:t>presented, and the track record of performance metrics</w:t>
      </w:r>
      <w:r>
        <w:rPr>
          <w:rFonts w:eastAsiaTheme="minorHAnsi"/>
          <w:snapToGrid/>
          <w:szCs w:val="24"/>
        </w:rPr>
        <w:t>,</w:t>
      </w:r>
      <w:r w:rsidRPr="00DE7E40">
        <w:rPr>
          <w:rFonts w:eastAsiaTheme="minorHAnsi"/>
          <w:snapToGrid/>
          <w:szCs w:val="24"/>
        </w:rPr>
        <w:t xml:space="preserve"> </w:t>
      </w:r>
      <w:r>
        <w:rPr>
          <w:rFonts w:eastAsiaTheme="minorHAnsi"/>
          <w:snapToGrid/>
          <w:szCs w:val="24"/>
        </w:rPr>
        <w:t>specifically</w:t>
      </w:r>
      <w:r w:rsidRPr="00DE7E40">
        <w:rPr>
          <w:rFonts w:eastAsiaTheme="minorHAnsi"/>
          <w:snapToGrid/>
          <w:szCs w:val="24"/>
        </w:rPr>
        <w:t xml:space="preserve"> MSG’s</w:t>
      </w:r>
      <w:r>
        <w:rPr>
          <w:rFonts w:eastAsiaTheme="minorHAnsi"/>
          <w:snapToGrid/>
          <w:szCs w:val="24"/>
        </w:rPr>
        <w:t>, Suzie Schulberg recommended that the OSO draft a corrective action plan to address the performance metrics goals and targets.</w:t>
      </w:r>
    </w:p>
    <w:p w:rsidR="00C10E25" w:rsidRPr="00503793" w:rsidRDefault="00C10E25" w:rsidP="00C10E25">
      <w:pPr>
        <w:pStyle w:val="ListParagraph"/>
        <w:numPr>
          <w:ilvl w:val="0"/>
          <w:numId w:val="4"/>
        </w:numPr>
        <w:spacing w:after="0"/>
        <w:rPr>
          <w:szCs w:val="24"/>
        </w:rPr>
      </w:pPr>
      <w:r>
        <w:rPr>
          <w:rFonts w:ascii="Times New Roman" w:hAnsi="Times New Roman" w:cs="Times New Roman"/>
          <w:sz w:val="24"/>
          <w:szCs w:val="24"/>
        </w:rPr>
        <w:t>Carla Kobashigawa echoed Suzie’s recommendation for the corrective action plan, however noted that there should be timeline for the OSO to respond</w:t>
      </w:r>
      <w:r w:rsidR="00503793">
        <w:rPr>
          <w:rFonts w:ascii="Times New Roman" w:hAnsi="Times New Roman" w:cs="Times New Roman"/>
          <w:sz w:val="24"/>
          <w:szCs w:val="24"/>
        </w:rPr>
        <w:t>. Carla suggested a 14 day response time and an improvement period of 30 days to see improvement over a specified amount of time.</w:t>
      </w:r>
    </w:p>
    <w:p w:rsidR="00503793" w:rsidRPr="00BB4E56" w:rsidRDefault="00503793" w:rsidP="00C10E25">
      <w:pPr>
        <w:pStyle w:val="ListParagraph"/>
        <w:numPr>
          <w:ilvl w:val="0"/>
          <w:numId w:val="4"/>
        </w:numPr>
        <w:spacing w:after="0"/>
        <w:rPr>
          <w:szCs w:val="24"/>
        </w:rPr>
      </w:pPr>
      <w:r>
        <w:rPr>
          <w:rFonts w:ascii="Times New Roman" w:hAnsi="Times New Roman" w:cs="Times New Roman"/>
          <w:sz w:val="24"/>
          <w:szCs w:val="24"/>
        </w:rPr>
        <w:t xml:space="preserve">Suzie Schulberg noted concern as a Performance Measures and Accountability committee member and OWDB member, </w:t>
      </w:r>
      <w:r w:rsidR="00BB4E56">
        <w:rPr>
          <w:rFonts w:ascii="Times New Roman" w:hAnsi="Times New Roman" w:cs="Times New Roman"/>
          <w:sz w:val="24"/>
          <w:szCs w:val="24"/>
        </w:rPr>
        <w:t xml:space="preserve">over </w:t>
      </w:r>
      <w:r>
        <w:rPr>
          <w:rFonts w:ascii="Times New Roman" w:hAnsi="Times New Roman" w:cs="Times New Roman"/>
          <w:sz w:val="24"/>
          <w:szCs w:val="24"/>
        </w:rPr>
        <w:t xml:space="preserve">the </w:t>
      </w:r>
      <w:r w:rsidR="00BB4E56">
        <w:rPr>
          <w:rFonts w:ascii="Times New Roman" w:hAnsi="Times New Roman" w:cs="Times New Roman"/>
          <w:sz w:val="24"/>
          <w:szCs w:val="24"/>
        </w:rPr>
        <w:t>continuation of missing the negotiated performance metrics.</w:t>
      </w:r>
    </w:p>
    <w:p w:rsidR="00BB4E56" w:rsidRPr="00BB4E56" w:rsidRDefault="00BB4E56" w:rsidP="00BB4E56">
      <w:pPr>
        <w:pStyle w:val="ListParagraph"/>
        <w:numPr>
          <w:ilvl w:val="1"/>
          <w:numId w:val="4"/>
        </w:numPr>
        <w:spacing w:after="0"/>
        <w:rPr>
          <w:szCs w:val="24"/>
        </w:rPr>
      </w:pPr>
      <w:r>
        <w:rPr>
          <w:rFonts w:ascii="Times New Roman" w:hAnsi="Times New Roman" w:cs="Times New Roman"/>
          <w:sz w:val="24"/>
          <w:szCs w:val="24"/>
        </w:rPr>
        <w:t>Sarah Guay echoed Suzie’s concern, and she noted she wanted more background information revolving the performance metrics and what would be considered a corrective action.</w:t>
      </w:r>
    </w:p>
    <w:p w:rsidR="00BB4E56" w:rsidRPr="00BB4E56" w:rsidRDefault="00BB4E56" w:rsidP="00BB4E56">
      <w:pPr>
        <w:pStyle w:val="ListParagraph"/>
        <w:spacing w:after="0"/>
        <w:ind w:left="2520"/>
        <w:rPr>
          <w:szCs w:val="24"/>
        </w:rPr>
      </w:pPr>
    </w:p>
    <w:p w:rsidR="00BB4E56" w:rsidRDefault="00BB4E56" w:rsidP="00BB4E56">
      <w:pPr>
        <w:ind w:left="1080"/>
        <w:contextualSpacing/>
        <w:rPr>
          <w:rFonts w:eastAsiaTheme="minorHAnsi"/>
          <w:snapToGrid/>
          <w:szCs w:val="24"/>
        </w:rPr>
      </w:pPr>
      <w:r>
        <w:rPr>
          <w:rFonts w:eastAsiaTheme="minorHAnsi"/>
          <w:snapToGrid/>
          <w:szCs w:val="24"/>
        </w:rPr>
        <w:t>Harrison Kuranishi noted that the State has a Sanction policy, which had started in PY 22. The policy identifies what</w:t>
      </w:r>
      <w:r w:rsidR="00B4509E">
        <w:rPr>
          <w:rFonts w:eastAsiaTheme="minorHAnsi"/>
          <w:snapToGrid/>
          <w:szCs w:val="24"/>
        </w:rPr>
        <w:t xml:space="preserve"> sanctions will be imposed based off of consecutive failed PY’s hitting goal. The policy can be found at the following link:</w:t>
      </w:r>
    </w:p>
    <w:p w:rsidR="00B4509E" w:rsidRDefault="005E54EE" w:rsidP="00BB4E56">
      <w:pPr>
        <w:ind w:left="1080"/>
        <w:contextualSpacing/>
        <w:rPr>
          <w:rFonts w:eastAsiaTheme="minorHAnsi"/>
          <w:snapToGrid/>
          <w:szCs w:val="24"/>
        </w:rPr>
      </w:pPr>
      <w:hyperlink r:id="rId13" w:history="1">
        <w:r w:rsidR="00B4509E" w:rsidRPr="001A53B1">
          <w:rPr>
            <w:rStyle w:val="Hyperlink"/>
            <w:rFonts w:eastAsiaTheme="minorHAnsi"/>
            <w:snapToGrid/>
            <w:szCs w:val="24"/>
          </w:rPr>
          <w:t>https://labor.hawaii.gov/wdc/files/2023/05/WIOA-Bulletin-02-23.pdf</w:t>
        </w:r>
      </w:hyperlink>
    </w:p>
    <w:p w:rsidR="00B4509E" w:rsidRDefault="00B4509E" w:rsidP="00BB4E56">
      <w:pPr>
        <w:ind w:left="1080"/>
        <w:contextualSpacing/>
        <w:rPr>
          <w:rFonts w:eastAsiaTheme="minorHAnsi"/>
          <w:snapToGrid/>
          <w:szCs w:val="24"/>
        </w:rPr>
      </w:pPr>
    </w:p>
    <w:p w:rsidR="00B4509E" w:rsidRDefault="00B4509E" w:rsidP="00BB4E56">
      <w:pPr>
        <w:ind w:left="1080"/>
        <w:contextualSpacing/>
        <w:rPr>
          <w:rFonts w:eastAsiaTheme="minorHAnsi"/>
          <w:snapToGrid/>
          <w:szCs w:val="24"/>
        </w:rPr>
      </w:pPr>
      <w:r>
        <w:rPr>
          <w:rFonts w:eastAsiaTheme="minorHAnsi"/>
          <w:snapToGrid/>
          <w:szCs w:val="24"/>
        </w:rPr>
        <w:t>Sarah Guay inquired if the technical assistance that is noted in the policy was provided, Harrison confirmed t</w:t>
      </w:r>
      <w:r w:rsidR="00EA714B">
        <w:rPr>
          <w:rFonts w:eastAsiaTheme="minorHAnsi"/>
          <w:snapToGrid/>
          <w:szCs w:val="24"/>
        </w:rPr>
        <w:t xml:space="preserve">hat the State usually provides training once a year. </w:t>
      </w:r>
      <w:r w:rsidR="00EA714B">
        <w:rPr>
          <w:rFonts w:eastAsiaTheme="minorHAnsi"/>
          <w:snapToGrid/>
          <w:szCs w:val="24"/>
        </w:rPr>
        <w:lastRenderedPageBreak/>
        <w:t>Harrison also noted training that was provided by State staff on MSG’s.</w:t>
      </w:r>
    </w:p>
    <w:p w:rsidR="00EA714B" w:rsidRDefault="00EA714B" w:rsidP="00BB4E56">
      <w:pPr>
        <w:ind w:left="1080"/>
        <w:contextualSpacing/>
        <w:rPr>
          <w:rFonts w:eastAsiaTheme="minorHAnsi"/>
          <w:snapToGrid/>
          <w:szCs w:val="24"/>
        </w:rPr>
      </w:pPr>
    </w:p>
    <w:p w:rsidR="00EA714B" w:rsidRDefault="00EA714B" w:rsidP="00BB4E56">
      <w:pPr>
        <w:ind w:left="1080"/>
        <w:contextualSpacing/>
        <w:rPr>
          <w:rFonts w:eastAsiaTheme="minorHAnsi"/>
          <w:snapToGrid/>
          <w:szCs w:val="24"/>
        </w:rPr>
      </w:pPr>
      <w:r>
        <w:rPr>
          <w:rFonts w:eastAsiaTheme="minorHAnsi"/>
          <w:snapToGrid/>
          <w:szCs w:val="24"/>
        </w:rPr>
        <w:t xml:space="preserve">Carla Kobashigawa brought up the MSG performance metric summary, </w:t>
      </w:r>
      <w:r w:rsidR="00760CF4">
        <w:rPr>
          <w:rFonts w:eastAsiaTheme="minorHAnsi"/>
          <w:snapToGrid/>
          <w:szCs w:val="24"/>
        </w:rPr>
        <w:t>and noted that the fifth category accounted for ~80% of the MSG’s input. She inquired if it’s because of workflow issues, easiest validation, etc.</w:t>
      </w:r>
    </w:p>
    <w:p w:rsidR="00C6679F" w:rsidRPr="00C6679F" w:rsidRDefault="00760CF4" w:rsidP="00760CF4">
      <w:pPr>
        <w:pStyle w:val="ListParagraph"/>
        <w:numPr>
          <w:ilvl w:val="0"/>
          <w:numId w:val="5"/>
        </w:numPr>
        <w:rPr>
          <w:szCs w:val="24"/>
        </w:rPr>
      </w:pPr>
      <w:r>
        <w:rPr>
          <w:rFonts w:ascii="Times New Roman" w:hAnsi="Times New Roman" w:cs="Times New Roman"/>
          <w:sz w:val="24"/>
          <w:szCs w:val="24"/>
        </w:rPr>
        <w:t xml:space="preserve">Sarah Guay noted that it may be an assessment issue for programs </w:t>
      </w:r>
      <w:r w:rsidR="00C6679F">
        <w:rPr>
          <w:rFonts w:ascii="Times New Roman" w:hAnsi="Times New Roman" w:cs="Times New Roman"/>
          <w:sz w:val="24"/>
          <w:szCs w:val="24"/>
        </w:rPr>
        <w:t>where there may not even be a possibility of the first category, only allowing certain MSG’s to be tracked.</w:t>
      </w:r>
    </w:p>
    <w:p w:rsidR="00F82B7D" w:rsidRPr="004A267B" w:rsidRDefault="00C6679F" w:rsidP="004A267B">
      <w:pPr>
        <w:pStyle w:val="ListParagraph"/>
        <w:numPr>
          <w:ilvl w:val="1"/>
          <w:numId w:val="5"/>
        </w:numPr>
        <w:rPr>
          <w:szCs w:val="24"/>
        </w:rPr>
      </w:pPr>
      <w:r>
        <w:rPr>
          <w:rFonts w:ascii="Times New Roman" w:hAnsi="Times New Roman" w:cs="Times New Roman"/>
          <w:sz w:val="24"/>
          <w:szCs w:val="24"/>
        </w:rPr>
        <w:t xml:space="preserve">Carla asked if the Individual Employment Plan indicates milestones and timelines that need to be followed. E.g. Participant must hit X milestone within three months, following some structure to know that in three months an MSG should be obtained and if not the case manager would be able to identify how to assist participant.  </w:t>
      </w:r>
    </w:p>
    <w:p w:rsidR="004A267B" w:rsidRDefault="004A267B" w:rsidP="004A267B">
      <w:pPr>
        <w:ind w:left="1080"/>
        <w:rPr>
          <w:rFonts w:eastAsiaTheme="minorHAnsi"/>
          <w:snapToGrid/>
          <w:szCs w:val="24"/>
        </w:rPr>
      </w:pPr>
      <w:r>
        <w:rPr>
          <w:rFonts w:eastAsiaTheme="minorHAnsi"/>
          <w:snapToGrid/>
          <w:szCs w:val="24"/>
        </w:rPr>
        <w:t>Harrison noted that the OSO is the connection between OWDB and the partners at the American Job Center (AJC). Department of Community Services currently serve as the Service Provider and the OSO, which is where the firewalls come into play. The OSO oversees WIOA at the AJC.</w:t>
      </w:r>
    </w:p>
    <w:p w:rsidR="004A267B" w:rsidRDefault="004A267B" w:rsidP="004A267B">
      <w:pPr>
        <w:pStyle w:val="ListParagraph"/>
        <w:numPr>
          <w:ilvl w:val="0"/>
          <w:numId w:val="5"/>
        </w:numPr>
        <w:rPr>
          <w:rFonts w:ascii="Times New Roman" w:hAnsi="Times New Roman" w:cs="Times New Roman"/>
          <w:sz w:val="24"/>
          <w:szCs w:val="24"/>
        </w:rPr>
      </w:pPr>
      <w:r w:rsidRPr="004A267B">
        <w:rPr>
          <w:rFonts w:ascii="Times New Roman" w:hAnsi="Times New Roman" w:cs="Times New Roman"/>
          <w:sz w:val="24"/>
          <w:szCs w:val="24"/>
        </w:rPr>
        <w:t xml:space="preserve">Suzie </w:t>
      </w:r>
      <w:r>
        <w:rPr>
          <w:rFonts w:ascii="Times New Roman" w:hAnsi="Times New Roman" w:cs="Times New Roman"/>
          <w:sz w:val="24"/>
          <w:szCs w:val="24"/>
        </w:rPr>
        <w:t>Schulberg asked if since the OSO oversee</w:t>
      </w:r>
      <w:r w:rsidR="00153E9B">
        <w:rPr>
          <w:rFonts w:ascii="Times New Roman" w:hAnsi="Times New Roman" w:cs="Times New Roman"/>
          <w:sz w:val="24"/>
          <w:szCs w:val="24"/>
        </w:rPr>
        <w:t>s WIOA if they would hold the responsibility of creating the corrective action plan.</w:t>
      </w:r>
    </w:p>
    <w:p w:rsidR="00153E9B" w:rsidRDefault="00153E9B" w:rsidP="00153E9B">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Harrison noted that the OSO could be the ones creating the corrective action plan, he noted that the OSO was given questions after the last OWDB Full Board meeting. One of the questions was regarding what the corrective action plan for Title I, the answer provided was to go to the HireNet Hawaii coordinator at the State.</w:t>
      </w:r>
    </w:p>
    <w:p w:rsidR="00153E9B" w:rsidRDefault="00153E9B" w:rsidP="00153E9B">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The answer given by the OSO was found insufficient, so a meeting was held with Aedward Los Banos, </w:t>
      </w:r>
      <w:r w:rsidRPr="00153E9B">
        <w:rPr>
          <w:rFonts w:ascii="Times New Roman" w:hAnsi="Times New Roman" w:cs="Times New Roman"/>
          <w:sz w:val="24"/>
          <w:szCs w:val="24"/>
        </w:rPr>
        <w:t>Deputy Director of Department of Community Services</w:t>
      </w:r>
      <w:r>
        <w:rPr>
          <w:szCs w:val="24"/>
        </w:rPr>
        <w:t xml:space="preserve">, </w:t>
      </w:r>
      <w:r w:rsidRPr="00153E9B">
        <w:rPr>
          <w:rFonts w:ascii="Times New Roman" w:hAnsi="Times New Roman" w:cs="Times New Roman"/>
          <w:sz w:val="24"/>
          <w:szCs w:val="24"/>
        </w:rPr>
        <w:t>and Leina‘ala Nakamura, Administrator for the WorkHawaii Division,</w:t>
      </w:r>
      <w:r>
        <w:rPr>
          <w:rFonts w:ascii="Times New Roman" w:hAnsi="Times New Roman" w:cs="Times New Roman"/>
          <w:sz w:val="24"/>
          <w:szCs w:val="24"/>
        </w:rPr>
        <w:t xml:space="preserve"> where it was revealed that the OSO would not do the administrative piece per the lack of administrative funding.</w:t>
      </w:r>
    </w:p>
    <w:p w:rsidR="0052293D" w:rsidRDefault="00153E9B" w:rsidP="00153E9B">
      <w:pPr>
        <w:ind w:left="1080"/>
        <w:rPr>
          <w:szCs w:val="24"/>
        </w:rPr>
      </w:pPr>
      <w:r>
        <w:rPr>
          <w:szCs w:val="24"/>
        </w:rPr>
        <w:t xml:space="preserve">Carla Kobashigawa asked if the “administrative piece” is in terms of the contractual </w:t>
      </w:r>
      <w:r w:rsidR="0052293D">
        <w:rPr>
          <w:szCs w:val="24"/>
        </w:rPr>
        <w:t>agreement or an expectation of the board.</w:t>
      </w:r>
    </w:p>
    <w:p w:rsidR="00153E9B" w:rsidRPr="0052293D" w:rsidRDefault="0052293D" w:rsidP="0052293D">
      <w:pPr>
        <w:pStyle w:val="ListParagraph"/>
        <w:numPr>
          <w:ilvl w:val="0"/>
          <w:numId w:val="5"/>
        </w:numPr>
        <w:rPr>
          <w:szCs w:val="24"/>
        </w:rPr>
      </w:pPr>
      <w:r>
        <w:rPr>
          <w:rFonts w:ascii="Times New Roman" w:hAnsi="Times New Roman" w:cs="Times New Roman"/>
          <w:sz w:val="24"/>
          <w:szCs w:val="24"/>
        </w:rPr>
        <w:t>Christopher Lum Lee noted that in the Request for Proposal that was submitted, the language reads: “The One Stop Operator along with the program managers for the WIOA Title I programs will regularly review performance outcomes, program expenditures, and budgets to ensure that all performance outcomes are met and funds are expended within the grant period.” Christopher also noted the scope of work section of the contract where it states that the OSO is responsible for recommending corrective actions relating to performance targets.</w:t>
      </w:r>
    </w:p>
    <w:p w:rsidR="0052293D" w:rsidRPr="0052293D" w:rsidRDefault="0052293D" w:rsidP="0052293D">
      <w:pPr>
        <w:pStyle w:val="ListParagraph"/>
        <w:numPr>
          <w:ilvl w:val="1"/>
          <w:numId w:val="5"/>
        </w:numPr>
        <w:rPr>
          <w:szCs w:val="24"/>
        </w:rPr>
      </w:pPr>
      <w:r>
        <w:rPr>
          <w:rFonts w:ascii="Times New Roman" w:hAnsi="Times New Roman" w:cs="Times New Roman"/>
          <w:sz w:val="24"/>
          <w:szCs w:val="24"/>
        </w:rPr>
        <w:t>Sarah Guay inquired where the lack of administrative funds creates the gap for the performance measures issue. Harrison informed her that the contract was written with no administrative funds, it was fully program funded.</w:t>
      </w:r>
    </w:p>
    <w:p w:rsidR="0052293D" w:rsidRDefault="0052293D" w:rsidP="0052293D">
      <w:pPr>
        <w:ind w:left="1080"/>
        <w:rPr>
          <w:rFonts w:eastAsiaTheme="minorHAnsi"/>
          <w:snapToGrid/>
          <w:szCs w:val="24"/>
        </w:rPr>
      </w:pPr>
      <w:r>
        <w:rPr>
          <w:rFonts w:eastAsiaTheme="minorHAnsi"/>
          <w:snapToGrid/>
          <w:szCs w:val="24"/>
        </w:rPr>
        <w:t>Carla Kobashigawa questioned why the lack of admi</w:t>
      </w:r>
      <w:r w:rsidR="000A6D76">
        <w:rPr>
          <w:rFonts w:eastAsiaTheme="minorHAnsi"/>
          <w:snapToGrid/>
          <w:szCs w:val="24"/>
        </w:rPr>
        <w:t>n</w:t>
      </w:r>
      <w:r>
        <w:rPr>
          <w:rFonts w:eastAsiaTheme="minorHAnsi"/>
          <w:snapToGrid/>
          <w:szCs w:val="24"/>
        </w:rPr>
        <w:t>istrative funding was</w:t>
      </w:r>
      <w:r w:rsidR="000A6D76">
        <w:rPr>
          <w:rFonts w:eastAsiaTheme="minorHAnsi"/>
          <w:snapToGrid/>
          <w:szCs w:val="24"/>
        </w:rPr>
        <w:t xml:space="preserve"> a non-issue for 2022 – 2025 but has come up now.</w:t>
      </w:r>
    </w:p>
    <w:p w:rsidR="000A6D76" w:rsidRDefault="000A6D76" w:rsidP="000A6D76">
      <w:pPr>
        <w:pStyle w:val="ListParagraph"/>
        <w:numPr>
          <w:ilvl w:val="0"/>
          <w:numId w:val="5"/>
        </w:numPr>
        <w:rPr>
          <w:rFonts w:ascii="Times New Roman" w:hAnsi="Times New Roman" w:cs="Times New Roman"/>
          <w:sz w:val="24"/>
          <w:szCs w:val="24"/>
        </w:rPr>
      </w:pPr>
      <w:r w:rsidRPr="000A6D76">
        <w:rPr>
          <w:rFonts w:ascii="Times New Roman" w:hAnsi="Times New Roman" w:cs="Times New Roman"/>
          <w:sz w:val="24"/>
          <w:szCs w:val="24"/>
        </w:rPr>
        <w:t>Harrison noted that previously</w:t>
      </w:r>
      <w:r>
        <w:rPr>
          <w:rFonts w:ascii="Times New Roman" w:hAnsi="Times New Roman" w:cs="Times New Roman"/>
          <w:sz w:val="24"/>
          <w:szCs w:val="24"/>
        </w:rPr>
        <w:t xml:space="preserve"> when Andrea Gaines was the OSO</w:t>
      </w:r>
      <w:r w:rsidRPr="000A6D76">
        <w:rPr>
          <w:rFonts w:ascii="Times New Roman" w:hAnsi="Times New Roman" w:cs="Times New Roman"/>
          <w:sz w:val="24"/>
          <w:szCs w:val="24"/>
        </w:rPr>
        <w:t>, OWDB staff was under the impression that the OSO could charge to the grant.</w:t>
      </w:r>
      <w:r>
        <w:rPr>
          <w:rFonts w:ascii="Times New Roman" w:hAnsi="Times New Roman" w:cs="Times New Roman"/>
          <w:sz w:val="24"/>
          <w:szCs w:val="24"/>
        </w:rPr>
        <w:t xml:space="preserve"> A State </w:t>
      </w:r>
      <w:r>
        <w:rPr>
          <w:rFonts w:ascii="Times New Roman" w:hAnsi="Times New Roman" w:cs="Times New Roman"/>
          <w:sz w:val="24"/>
          <w:szCs w:val="24"/>
        </w:rPr>
        <w:lastRenderedPageBreak/>
        <w:t>finding resulted in Andrea pulling away from charging to the grant and having the other OSO staff and accountant charging to the grant. A small portion of administrative funding was provided for the accountants but it was not specifically for OSO accountants.</w:t>
      </w:r>
    </w:p>
    <w:p w:rsidR="000A6D76" w:rsidRDefault="000A6D76" w:rsidP="000A6D76">
      <w:pPr>
        <w:ind w:left="1080"/>
        <w:rPr>
          <w:rFonts w:eastAsiaTheme="minorHAnsi"/>
          <w:snapToGrid/>
          <w:szCs w:val="24"/>
        </w:rPr>
      </w:pPr>
      <w:r>
        <w:rPr>
          <w:rFonts w:eastAsiaTheme="minorHAnsi"/>
          <w:snapToGrid/>
          <w:szCs w:val="24"/>
        </w:rPr>
        <w:t>Suzie Schulberg inquired if the OSO is stating that since there is no administrative funds the administrative piece will not be done.</w:t>
      </w:r>
    </w:p>
    <w:p w:rsidR="000A6D76" w:rsidRDefault="000A6D76" w:rsidP="000A6D76">
      <w:pPr>
        <w:pStyle w:val="ListParagraph"/>
        <w:numPr>
          <w:ilvl w:val="0"/>
          <w:numId w:val="5"/>
        </w:numPr>
        <w:rPr>
          <w:rFonts w:ascii="Times New Roman" w:hAnsi="Times New Roman" w:cs="Times New Roman"/>
          <w:sz w:val="24"/>
          <w:szCs w:val="24"/>
        </w:rPr>
      </w:pPr>
      <w:r w:rsidRPr="000A6D76">
        <w:rPr>
          <w:rFonts w:ascii="Times New Roman" w:hAnsi="Times New Roman" w:cs="Times New Roman"/>
          <w:sz w:val="24"/>
          <w:szCs w:val="24"/>
        </w:rPr>
        <w:t xml:space="preserve">Harrison Kuranishi informed her that the OSO indicated that the contractual budget was not enough to </w:t>
      </w:r>
      <w:r w:rsidR="00A95E98">
        <w:rPr>
          <w:rFonts w:ascii="Times New Roman" w:hAnsi="Times New Roman" w:cs="Times New Roman"/>
          <w:sz w:val="24"/>
          <w:szCs w:val="24"/>
        </w:rPr>
        <w:t>run the center, Harrison wanted to highlight that the contract was written for t</w:t>
      </w:r>
      <w:r w:rsidR="00D609D8">
        <w:rPr>
          <w:rFonts w:ascii="Times New Roman" w:hAnsi="Times New Roman" w:cs="Times New Roman"/>
          <w:sz w:val="24"/>
          <w:szCs w:val="24"/>
        </w:rPr>
        <w:t>hree years fully program funded.</w:t>
      </w:r>
    </w:p>
    <w:p w:rsidR="00D609D8" w:rsidRDefault="00D609D8" w:rsidP="00D609D8">
      <w:pPr>
        <w:ind w:left="1080"/>
        <w:rPr>
          <w:szCs w:val="24"/>
        </w:rPr>
      </w:pPr>
      <w:r>
        <w:rPr>
          <w:szCs w:val="24"/>
        </w:rPr>
        <w:t>Suzie Schulberg requested that in the corrective action a solution be written out to detail how the OSO will meet the needs and demands of the contract.</w:t>
      </w:r>
      <w:r w:rsidR="00327E85">
        <w:rPr>
          <w:szCs w:val="24"/>
        </w:rPr>
        <w:t xml:space="preserve"> Along with the performance metrics, Suzie noted that the contract should be reviewed in totality to pinpoint any other requirements of the contract not being performed.</w:t>
      </w:r>
    </w:p>
    <w:p w:rsidR="004A267B" w:rsidRPr="00D267F6" w:rsidRDefault="00327E85" w:rsidP="00D267F6">
      <w:pPr>
        <w:pStyle w:val="ListParagraph"/>
        <w:numPr>
          <w:ilvl w:val="0"/>
          <w:numId w:val="5"/>
        </w:numPr>
        <w:rPr>
          <w:rFonts w:ascii="Times New Roman" w:hAnsi="Times New Roman" w:cs="Times New Roman"/>
          <w:sz w:val="24"/>
          <w:szCs w:val="24"/>
        </w:rPr>
      </w:pPr>
      <w:r w:rsidRPr="00327E85">
        <w:rPr>
          <w:rFonts w:ascii="Times New Roman" w:hAnsi="Times New Roman" w:cs="Times New Roman"/>
          <w:sz w:val="24"/>
          <w:szCs w:val="24"/>
        </w:rPr>
        <w:t>Carla Kobashigawa noted that she had been requesting the minutes or actionable item</w:t>
      </w:r>
      <w:r>
        <w:rPr>
          <w:rFonts w:ascii="Times New Roman" w:hAnsi="Times New Roman" w:cs="Times New Roman"/>
          <w:sz w:val="24"/>
          <w:szCs w:val="24"/>
        </w:rPr>
        <w:t>s from the OSO partner meetings to better understand what has been being done for the WIOA ecosystem.</w:t>
      </w:r>
    </w:p>
    <w:p w:rsidR="00D267F6" w:rsidRDefault="003603D3" w:rsidP="005A7FAD">
      <w:pPr>
        <w:widowControl/>
        <w:spacing w:after="160"/>
        <w:ind w:left="1080"/>
        <w:contextualSpacing/>
        <w:rPr>
          <w:rFonts w:eastAsiaTheme="minorHAnsi"/>
          <w:snapToGrid/>
          <w:szCs w:val="24"/>
        </w:rPr>
      </w:pPr>
      <w:r>
        <w:rPr>
          <w:rFonts w:eastAsiaTheme="minorHAnsi"/>
          <w:snapToGrid/>
          <w:szCs w:val="24"/>
        </w:rPr>
        <w:t>Christopher Lum Lee noted that a corrective action was asked for in follow-up questions to the OSO, Carla Kobashigawa recommended that in the corrective action there should be milestones during the period. E.g. at the 15 day mark assurance that all program staff is familiar with the five MSG categories and have been provided proper training.</w:t>
      </w:r>
    </w:p>
    <w:p w:rsidR="003603D3" w:rsidRDefault="003603D3" w:rsidP="005A7FAD">
      <w:pPr>
        <w:widowControl/>
        <w:spacing w:after="160"/>
        <w:ind w:left="1080"/>
        <w:contextualSpacing/>
        <w:rPr>
          <w:rFonts w:eastAsiaTheme="minorHAnsi"/>
          <w:snapToGrid/>
          <w:szCs w:val="24"/>
        </w:rPr>
      </w:pPr>
    </w:p>
    <w:p w:rsidR="00F82B7D" w:rsidRPr="00F82B7D" w:rsidRDefault="00F82B7D" w:rsidP="005A7FAD">
      <w:pPr>
        <w:widowControl/>
        <w:spacing w:after="160"/>
        <w:ind w:left="1080"/>
        <w:contextualSpacing/>
        <w:rPr>
          <w:rFonts w:eastAsiaTheme="minorHAnsi"/>
          <w:snapToGrid/>
          <w:szCs w:val="24"/>
        </w:rPr>
      </w:pPr>
      <w:r w:rsidRPr="00F82B7D">
        <w:rPr>
          <w:rFonts w:eastAsiaTheme="minorHAnsi"/>
          <w:snapToGrid/>
          <w:szCs w:val="24"/>
        </w:rPr>
        <w:t>Chair</w:t>
      </w:r>
      <w:r>
        <w:rPr>
          <w:rFonts w:eastAsiaTheme="minorHAnsi"/>
          <w:snapToGrid/>
          <w:szCs w:val="24"/>
        </w:rPr>
        <w:t xml:space="preserve"> Suzie Schulberg requested a motion</w:t>
      </w:r>
      <w:r w:rsidR="00D267F6">
        <w:rPr>
          <w:rFonts w:eastAsiaTheme="minorHAnsi"/>
          <w:snapToGrid/>
          <w:szCs w:val="24"/>
        </w:rPr>
        <w:t xml:space="preserve"> to recommend that the full board impose a 30 or 45 day Corrective Action on the OSO requiring the OSO to get into full compliance with the terms and conditions of their contractual agreement with the OWDB, included but not limited to, ensuring that Title I performance metrics are achieved.</w:t>
      </w:r>
      <w:r>
        <w:rPr>
          <w:rFonts w:eastAsiaTheme="minorHAnsi"/>
          <w:snapToGrid/>
          <w:szCs w:val="24"/>
        </w:rPr>
        <w:t xml:space="preserve"> </w:t>
      </w:r>
      <w:r w:rsidR="003603D3">
        <w:rPr>
          <w:rFonts w:eastAsiaTheme="minorHAnsi"/>
          <w:snapToGrid/>
          <w:szCs w:val="24"/>
        </w:rPr>
        <w:t xml:space="preserve">Sarah Guay wanted clarification if the proposed timeline is for the proposal of the plan or to get into compliance, Carla proposed that the timeline include both the development and acceptance of the plan and the period of </w:t>
      </w:r>
      <w:r w:rsidR="00D770C2">
        <w:rPr>
          <w:rFonts w:eastAsiaTheme="minorHAnsi"/>
          <w:snapToGrid/>
          <w:szCs w:val="24"/>
        </w:rPr>
        <w:t>time to display areas of improvement.</w:t>
      </w:r>
      <w:r w:rsidR="003603D3">
        <w:rPr>
          <w:rFonts w:eastAsiaTheme="minorHAnsi"/>
          <w:snapToGrid/>
          <w:szCs w:val="24"/>
        </w:rPr>
        <w:t xml:space="preserve"> </w:t>
      </w:r>
      <w:r>
        <w:rPr>
          <w:rFonts w:eastAsiaTheme="minorHAnsi"/>
          <w:snapToGrid/>
          <w:szCs w:val="24"/>
        </w:rPr>
        <w:t xml:space="preserve">Carla </w:t>
      </w:r>
      <w:r w:rsidR="00D267F6">
        <w:rPr>
          <w:rFonts w:eastAsiaTheme="minorHAnsi"/>
          <w:snapToGrid/>
          <w:szCs w:val="24"/>
        </w:rPr>
        <w:t xml:space="preserve">Kobashigawa </w:t>
      </w:r>
      <w:r>
        <w:rPr>
          <w:rFonts w:eastAsiaTheme="minorHAnsi"/>
          <w:snapToGrid/>
          <w:szCs w:val="24"/>
        </w:rPr>
        <w:t>motion</w:t>
      </w:r>
      <w:r w:rsidR="00D267F6">
        <w:rPr>
          <w:rFonts w:eastAsiaTheme="minorHAnsi"/>
          <w:snapToGrid/>
          <w:szCs w:val="24"/>
        </w:rPr>
        <w:t xml:space="preserve">ed to </w:t>
      </w:r>
      <w:r w:rsidR="00D770C2">
        <w:rPr>
          <w:rFonts w:eastAsiaTheme="minorHAnsi"/>
          <w:snapToGrid/>
          <w:szCs w:val="24"/>
        </w:rPr>
        <w:t>recommend that the full board impose a corrective action on the OSO.</w:t>
      </w:r>
      <w:r>
        <w:rPr>
          <w:rFonts w:eastAsiaTheme="minorHAnsi"/>
          <w:snapToGrid/>
          <w:szCs w:val="24"/>
        </w:rPr>
        <w:t xml:space="preserve"> Sarah </w:t>
      </w:r>
      <w:r w:rsidR="00D770C2">
        <w:rPr>
          <w:rFonts w:eastAsiaTheme="minorHAnsi"/>
          <w:snapToGrid/>
          <w:szCs w:val="24"/>
        </w:rPr>
        <w:t xml:space="preserve">Guay </w:t>
      </w:r>
      <w:r>
        <w:rPr>
          <w:rFonts w:eastAsiaTheme="minorHAnsi"/>
          <w:snapToGrid/>
          <w:szCs w:val="24"/>
        </w:rPr>
        <w:t>second</w:t>
      </w:r>
      <w:r w:rsidR="00D770C2">
        <w:rPr>
          <w:rFonts w:eastAsiaTheme="minorHAnsi"/>
          <w:snapToGrid/>
          <w:szCs w:val="24"/>
        </w:rPr>
        <w:t>ed the motion. There were no objections or abstentions. The motion for recommendation passed unanimously.</w:t>
      </w:r>
    </w:p>
    <w:p w:rsidR="005A7FAD" w:rsidRPr="005A7FAD" w:rsidRDefault="005A7FAD" w:rsidP="005A7FAD">
      <w:pPr>
        <w:widowControl/>
        <w:spacing w:after="160"/>
        <w:ind w:left="1080"/>
        <w:contextualSpacing/>
        <w:rPr>
          <w:rFonts w:eastAsiaTheme="minorHAnsi"/>
          <w:snapToGrid/>
          <w:szCs w:val="24"/>
          <w:highlight w:val="yellow"/>
        </w:rPr>
      </w:pPr>
    </w:p>
    <w:p w:rsidR="005A7FAD" w:rsidRPr="00F82B7D" w:rsidRDefault="005A7FAD" w:rsidP="005A7FAD">
      <w:pPr>
        <w:widowControl/>
        <w:numPr>
          <w:ilvl w:val="0"/>
          <w:numId w:val="1"/>
        </w:numPr>
        <w:spacing w:after="160"/>
        <w:contextualSpacing/>
        <w:rPr>
          <w:rFonts w:eastAsiaTheme="minorHAnsi"/>
          <w:b/>
          <w:snapToGrid/>
          <w:szCs w:val="24"/>
        </w:rPr>
      </w:pPr>
      <w:r w:rsidRPr="00F82B7D">
        <w:rPr>
          <w:rFonts w:eastAsiaTheme="minorHAnsi"/>
          <w:b/>
          <w:snapToGrid/>
          <w:szCs w:val="24"/>
        </w:rPr>
        <w:t>OWDB Monitoring of the Service Provider</w:t>
      </w:r>
    </w:p>
    <w:p w:rsidR="00F66C1C" w:rsidRPr="00D770C2" w:rsidRDefault="00F82B7D" w:rsidP="00D770C2">
      <w:pPr>
        <w:widowControl/>
        <w:ind w:left="1080"/>
        <w:contextualSpacing/>
        <w:rPr>
          <w:rFonts w:eastAsiaTheme="minorHAnsi"/>
          <w:snapToGrid/>
          <w:szCs w:val="24"/>
        </w:rPr>
      </w:pPr>
      <w:r>
        <w:rPr>
          <w:rFonts w:eastAsiaTheme="minorHAnsi"/>
          <w:snapToGrid/>
          <w:szCs w:val="24"/>
        </w:rPr>
        <w:t>Harrison Kuranishi noted that desk monitoring has been occurring</w:t>
      </w:r>
      <w:r w:rsidR="00D770C2">
        <w:rPr>
          <w:rFonts w:eastAsiaTheme="minorHAnsi"/>
          <w:snapToGrid/>
          <w:szCs w:val="24"/>
        </w:rPr>
        <w:t>, in person monitoring was scheduled for the week of the 9</w:t>
      </w:r>
      <w:r w:rsidR="00D770C2" w:rsidRPr="00D770C2">
        <w:rPr>
          <w:rFonts w:eastAsiaTheme="minorHAnsi"/>
          <w:snapToGrid/>
          <w:szCs w:val="24"/>
          <w:vertAlign w:val="superscript"/>
        </w:rPr>
        <w:t>th</w:t>
      </w:r>
      <w:r w:rsidR="00D770C2">
        <w:rPr>
          <w:rFonts w:eastAsiaTheme="minorHAnsi"/>
          <w:snapToGrid/>
          <w:szCs w:val="24"/>
        </w:rPr>
        <w:t xml:space="preserve"> however with the closure of City offices on the 9</w:t>
      </w:r>
      <w:r w:rsidR="00D770C2" w:rsidRPr="00D770C2">
        <w:rPr>
          <w:rFonts w:eastAsiaTheme="minorHAnsi"/>
          <w:snapToGrid/>
          <w:szCs w:val="24"/>
          <w:vertAlign w:val="superscript"/>
        </w:rPr>
        <w:t>th</w:t>
      </w:r>
      <w:r w:rsidR="00D770C2">
        <w:rPr>
          <w:rFonts w:eastAsiaTheme="minorHAnsi"/>
          <w:snapToGrid/>
          <w:szCs w:val="24"/>
        </w:rPr>
        <w:t xml:space="preserve"> and meetings throughout the week on-site monitoring will likely be February 11</w:t>
      </w:r>
      <w:r w:rsidR="00D770C2" w:rsidRPr="00D770C2">
        <w:rPr>
          <w:rFonts w:eastAsiaTheme="minorHAnsi"/>
          <w:snapToGrid/>
          <w:szCs w:val="24"/>
          <w:vertAlign w:val="superscript"/>
        </w:rPr>
        <w:t>th</w:t>
      </w:r>
      <w:r w:rsidR="00D770C2">
        <w:rPr>
          <w:rFonts w:eastAsiaTheme="minorHAnsi"/>
          <w:snapToGrid/>
          <w:szCs w:val="24"/>
        </w:rPr>
        <w:t xml:space="preserve"> – 13</w:t>
      </w:r>
      <w:r w:rsidR="00D770C2" w:rsidRPr="00D770C2">
        <w:rPr>
          <w:rFonts w:eastAsiaTheme="minorHAnsi"/>
          <w:snapToGrid/>
          <w:szCs w:val="24"/>
          <w:vertAlign w:val="superscript"/>
        </w:rPr>
        <w:t>th</w:t>
      </w:r>
      <w:r w:rsidR="00D770C2">
        <w:rPr>
          <w:rFonts w:eastAsiaTheme="minorHAnsi"/>
          <w:snapToGrid/>
          <w:szCs w:val="24"/>
        </w:rPr>
        <w:t xml:space="preserve">. A monitoring report is required to be sent to the Service Provider </w:t>
      </w:r>
      <w:r w:rsidR="00D770C2" w:rsidRPr="00D770C2">
        <w:rPr>
          <w:rFonts w:eastAsiaTheme="minorHAnsi"/>
          <w:snapToGrid/>
          <w:szCs w:val="24"/>
        </w:rPr>
        <w:t>within 30 days.</w:t>
      </w:r>
    </w:p>
    <w:p w:rsidR="00D770C2" w:rsidRPr="00D770C2" w:rsidRDefault="00D770C2" w:rsidP="00D770C2">
      <w:pPr>
        <w:pStyle w:val="ListParagraph"/>
        <w:numPr>
          <w:ilvl w:val="0"/>
          <w:numId w:val="5"/>
        </w:numPr>
        <w:spacing w:after="0"/>
        <w:rPr>
          <w:rFonts w:ascii="Times New Roman" w:hAnsi="Times New Roman" w:cs="Times New Roman"/>
          <w:sz w:val="24"/>
          <w:szCs w:val="24"/>
        </w:rPr>
      </w:pPr>
      <w:r w:rsidRPr="00D770C2">
        <w:rPr>
          <w:rFonts w:ascii="Times New Roman" w:hAnsi="Times New Roman" w:cs="Times New Roman"/>
          <w:sz w:val="24"/>
          <w:szCs w:val="24"/>
        </w:rPr>
        <w:t>Carla Kobashigawa recommended that a copy of the report be shared with the OSO and the</w:t>
      </w:r>
      <w:r>
        <w:rPr>
          <w:rFonts w:ascii="Times New Roman" w:hAnsi="Times New Roman" w:cs="Times New Roman"/>
          <w:sz w:val="24"/>
          <w:szCs w:val="24"/>
        </w:rPr>
        <w:t xml:space="preserve"> Full Board.</w:t>
      </w:r>
    </w:p>
    <w:p w:rsidR="00F66C1C" w:rsidRPr="00F66C1C" w:rsidRDefault="00F66C1C" w:rsidP="00F66C1C">
      <w:pPr>
        <w:widowControl/>
        <w:spacing w:after="160"/>
        <w:ind w:left="1080"/>
        <w:contextualSpacing/>
        <w:rPr>
          <w:rFonts w:eastAsiaTheme="minorHAnsi"/>
          <w:b/>
          <w:snapToGrid/>
          <w:szCs w:val="24"/>
        </w:rPr>
      </w:pPr>
    </w:p>
    <w:p w:rsidR="005A7FAD" w:rsidRDefault="005A7FAD" w:rsidP="00F66C1C">
      <w:pPr>
        <w:widowControl/>
        <w:numPr>
          <w:ilvl w:val="0"/>
          <w:numId w:val="1"/>
        </w:numPr>
        <w:spacing w:after="160"/>
        <w:contextualSpacing/>
        <w:rPr>
          <w:rFonts w:eastAsiaTheme="minorHAnsi"/>
          <w:b/>
          <w:snapToGrid/>
          <w:szCs w:val="24"/>
        </w:rPr>
      </w:pPr>
      <w:r>
        <w:rPr>
          <w:rFonts w:eastAsiaTheme="minorHAnsi"/>
          <w:b/>
          <w:snapToGrid/>
          <w:szCs w:val="24"/>
        </w:rPr>
        <w:t>Stipends Policy Follow-Up</w:t>
      </w:r>
    </w:p>
    <w:p w:rsidR="005A7FAD" w:rsidRDefault="00F82B7D" w:rsidP="00FB2AE9">
      <w:pPr>
        <w:widowControl/>
        <w:ind w:left="1080"/>
        <w:contextualSpacing/>
        <w:rPr>
          <w:rFonts w:eastAsiaTheme="minorHAnsi"/>
          <w:snapToGrid/>
          <w:szCs w:val="24"/>
        </w:rPr>
      </w:pPr>
      <w:r>
        <w:rPr>
          <w:rFonts w:eastAsiaTheme="minorHAnsi"/>
          <w:snapToGrid/>
          <w:szCs w:val="24"/>
        </w:rPr>
        <w:t xml:space="preserve">Harrison Kuranishi noted that at the last Performance Measures and Accountability Committee meeting a stipends policy </w:t>
      </w:r>
      <w:r w:rsidR="00D770C2">
        <w:rPr>
          <w:rFonts w:eastAsiaTheme="minorHAnsi"/>
          <w:snapToGrid/>
          <w:szCs w:val="24"/>
        </w:rPr>
        <w:t xml:space="preserve">for Adult and Dislocated Workers was proposed. Harrison noted that no </w:t>
      </w:r>
      <w:r w:rsidR="00FB2AE9">
        <w:rPr>
          <w:rFonts w:eastAsiaTheme="minorHAnsi"/>
          <w:snapToGrid/>
          <w:szCs w:val="24"/>
        </w:rPr>
        <w:t>feedback was received.</w:t>
      </w:r>
    </w:p>
    <w:p w:rsidR="00FB2AE9" w:rsidRPr="00FB2AE9" w:rsidRDefault="00FB2AE9" w:rsidP="00FB2AE9">
      <w:pPr>
        <w:pStyle w:val="ListParagraph"/>
        <w:numPr>
          <w:ilvl w:val="0"/>
          <w:numId w:val="5"/>
        </w:numPr>
        <w:spacing w:after="0"/>
        <w:rPr>
          <w:szCs w:val="24"/>
        </w:rPr>
      </w:pPr>
      <w:r>
        <w:rPr>
          <w:rFonts w:ascii="Times New Roman" w:hAnsi="Times New Roman" w:cs="Times New Roman"/>
          <w:sz w:val="24"/>
          <w:szCs w:val="24"/>
        </w:rPr>
        <w:t xml:space="preserve">Carla Kobashigawa noted that at the last meeting a question was proposed regarding the connection between the stipends and MSG’s. Since MSG’s are </w:t>
      </w:r>
      <w:r>
        <w:rPr>
          <w:rFonts w:ascii="Times New Roman" w:hAnsi="Times New Roman" w:cs="Times New Roman"/>
          <w:sz w:val="24"/>
          <w:szCs w:val="24"/>
        </w:rPr>
        <w:lastRenderedPageBreak/>
        <w:t>an identified performance metric that is struggling she wanted clarity to confirm that stipends are not issued just for the sake of boosting MSG’s.</w:t>
      </w:r>
    </w:p>
    <w:p w:rsidR="00FB2AE9" w:rsidRPr="00FB2AE9" w:rsidRDefault="00FB2AE9" w:rsidP="00FB2AE9">
      <w:pPr>
        <w:pStyle w:val="ListParagraph"/>
        <w:numPr>
          <w:ilvl w:val="1"/>
          <w:numId w:val="5"/>
        </w:numPr>
        <w:spacing w:after="0"/>
        <w:rPr>
          <w:szCs w:val="24"/>
        </w:rPr>
      </w:pPr>
      <w:r>
        <w:rPr>
          <w:rFonts w:ascii="Times New Roman" w:hAnsi="Times New Roman" w:cs="Times New Roman"/>
          <w:sz w:val="24"/>
          <w:szCs w:val="24"/>
        </w:rPr>
        <w:t xml:space="preserve">Harrison noted that the Youth program has something similar called incentives, Adult and Dislocated Worker participants cannot get incentives but they can get stipends. The requirements for stipends would be similar to the Youth incentives. </w:t>
      </w:r>
    </w:p>
    <w:p w:rsidR="005A7FAD" w:rsidRPr="005A7FAD" w:rsidRDefault="005A7FAD" w:rsidP="005A7FAD">
      <w:pPr>
        <w:widowControl/>
        <w:spacing w:after="160"/>
        <w:ind w:left="1080"/>
        <w:contextualSpacing/>
        <w:rPr>
          <w:rFonts w:eastAsiaTheme="minorHAnsi"/>
          <w:snapToGrid/>
          <w:szCs w:val="24"/>
        </w:rPr>
      </w:pPr>
    </w:p>
    <w:p w:rsidR="00F66C1C" w:rsidRPr="00F66C1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rsidR="009B039A" w:rsidRDefault="009B039A" w:rsidP="009B039A">
      <w:pPr>
        <w:widowControl/>
        <w:spacing w:after="160"/>
        <w:ind w:left="1080"/>
        <w:contextualSpacing/>
        <w:rPr>
          <w:rFonts w:eastAsiaTheme="minorHAnsi"/>
          <w:snapToGrid/>
          <w:szCs w:val="24"/>
        </w:rPr>
      </w:pPr>
      <w:r>
        <w:rPr>
          <w:rFonts w:eastAsiaTheme="minorHAnsi"/>
          <w:snapToGrid/>
          <w:szCs w:val="24"/>
        </w:rPr>
        <w:t xml:space="preserve">Harrison Kuranishi noted that the State will be monitoring on the week of March </w:t>
      </w:r>
      <w:r w:rsidR="003621DA">
        <w:rPr>
          <w:rFonts w:eastAsiaTheme="minorHAnsi"/>
          <w:snapToGrid/>
          <w:szCs w:val="24"/>
        </w:rPr>
        <w:t>9</w:t>
      </w:r>
      <w:r w:rsidR="003621DA" w:rsidRPr="003621DA">
        <w:rPr>
          <w:rFonts w:eastAsiaTheme="minorHAnsi"/>
          <w:snapToGrid/>
          <w:szCs w:val="24"/>
          <w:vertAlign w:val="superscript"/>
        </w:rPr>
        <w:t>th</w:t>
      </w:r>
      <w:r w:rsidR="003621DA">
        <w:rPr>
          <w:rFonts w:eastAsiaTheme="minorHAnsi"/>
          <w:snapToGrid/>
          <w:szCs w:val="24"/>
        </w:rPr>
        <w:t xml:space="preserve"> and will be f</w:t>
      </w:r>
      <w:r>
        <w:rPr>
          <w:rFonts w:eastAsiaTheme="minorHAnsi"/>
          <w:snapToGrid/>
          <w:szCs w:val="24"/>
        </w:rPr>
        <w:t>ully online</w:t>
      </w:r>
      <w:r w:rsidR="003621DA">
        <w:rPr>
          <w:rFonts w:eastAsiaTheme="minorHAnsi"/>
          <w:snapToGrid/>
          <w:szCs w:val="24"/>
        </w:rPr>
        <w:t xml:space="preserve">. </w:t>
      </w:r>
    </w:p>
    <w:p w:rsidR="00F66C1C" w:rsidRPr="00F66C1C" w:rsidRDefault="00F66C1C" w:rsidP="005A7FAD">
      <w:pPr>
        <w:widowControl/>
        <w:spacing w:after="160"/>
        <w:contextualSpacing/>
        <w:rPr>
          <w:rFonts w:eastAsiaTheme="minorHAnsi"/>
          <w:snapToGrid/>
          <w:szCs w:val="24"/>
        </w:rPr>
      </w:pPr>
      <w:bookmarkStart w:id="0" w:name="_GoBack"/>
      <w:bookmarkEnd w:id="0"/>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825C6B">
        <w:rPr>
          <w:rFonts w:eastAsiaTheme="minorHAnsi"/>
          <w:snapToGrid/>
          <w:szCs w:val="24"/>
        </w:rPr>
        <w:t>Suzie Schulberg</w:t>
      </w:r>
      <w:r w:rsidRPr="00F66C1C">
        <w:rPr>
          <w:rFonts w:eastAsiaTheme="minorHAnsi"/>
          <w:snapToGrid/>
          <w:szCs w:val="24"/>
        </w:rPr>
        <w:t xml:space="preserve"> adjourned the meeting at </w:t>
      </w:r>
      <w:r w:rsidR="009B039A">
        <w:rPr>
          <w:rFonts w:eastAsiaTheme="minorHAnsi"/>
          <w:snapToGrid/>
          <w:szCs w:val="24"/>
        </w:rPr>
        <w:t>1:55</w:t>
      </w:r>
      <w:r w:rsidRPr="00F66C1C">
        <w:rPr>
          <w:rFonts w:eastAsiaTheme="minorHAnsi"/>
          <w:snapToGrid/>
          <w:szCs w:val="24"/>
        </w:rPr>
        <w:t xml:space="preserve"> pm. </w:t>
      </w:r>
    </w:p>
    <w:p w:rsidR="006921ED" w:rsidRDefault="006921ED" w:rsidP="006921ED">
      <w:pPr>
        <w:pStyle w:val="ListParagraph"/>
        <w:spacing w:line="240" w:lineRule="auto"/>
        <w:ind w:left="1080"/>
        <w:rPr>
          <w:sz w:val="24"/>
          <w:szCs w:val="24"/>
        </w:rPr>
      </w:pPr>
    </w:p>
    <w:p w:rsidR="006921ED" w:rsidRPr="008F5855" w:rsidRDefault="006921ED" w:rsidP="006921ED">
      <w:pPr>
        <w:jc w:val="center"/>
      </w:pPr>
    </w:p>
    <w:p w:rsidR="008F6390" w:rsidRPr="008F5855" w:rsidRDefault="008F6390" w:rsidP="009548CA">
      <w:pPr>
        <w:jc w:val="center"/>
      </w:pPr>
    </w:p>
    <w:sectPr w:rsidR="008F6390" w:rsidRPr="008F5855" w:rsidSect="00830A1F">
      <w:headerReference w:type="default" r:id="rId14"/>
      <w:footerReference w:type="first" r:id="rId15"/>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4EE" w:rsidRDefault="005E54EE" w:rsidP="00F66C1C">
      <w:r>
        <w:separator/>
      </w:r>
    </w:p>
  </w:endnote>
  <w:endnote w:type="continuationSeparator" w:id="0">
    <w:p w:rsidR="005E54EE" w:rsidRDefault="005E54EE"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EE"/>
    <w:family w:val="swiss"/>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1F" w:rsidRDefault="00830A1F" w:rsidP="00830A1F">
    <w:pPr>
      <w:pStyle w:val="Footer"/>
      <w:tabs>
        <w:tab w:val="clear" w:pos="9360"/>
      </w:tabs>
      <w:ind w:right="1440"/>
      <w:rPr>
        <w:sz w:val="18"/>
        <w:szCs w:val="18"/>
      </w:rPr>
    </w:pPr>
  </w:p>
  <w:p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4EE" w:rsidRDefault="005E54EE" w:rsidP="00F66C1C">
      <w:r>
        <w:separator/>
      </w:r>
    </w:p>
  </w:footnote>
  <w:footnote w:type="continuationSeparator" w:id="0">
    <w:p w:rsidR="005E54EE" w:rsidRDefault="005E54EE" w:rsidP="00F66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760886"/>
      <w:docPartObj>
        <w:docPartGallery w:val="Watermarks"/>
        <w:docPartUnique/>
      </w:docPartObj>
    </w:sdtPr>
    <w:sdtEndPr/>
    <w:sdtContent>
      <w:p w:rsidR="00F66C1C" w:rsidRDefault="005E54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C3381"/>
    <w:multiLevelType w:val="hybridMultilevel"/>
    <w:tmpl w:val="1C24E9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F005315"/>
    <w:multiLevelType w:val="hybridMultilevel"/>
    <w:tmpl w:val="EA52EF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F8247C2"/>
    <w:multiLevelType w:val="hybridMultilevel"/>
    <w:tmpl w:val="E60296CE"/>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907E80"/>
    <w:multiLevelType w:val="hybridMultilevel"/>
    <w:tmpl w:val="4DA874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0"/>
    <w:rsid w:val="000A6D76"/>
    <w:rsid w:val="000D56B7"/>
    <w:rsid w:val="00153E9B"/>
    <w:rsid w:val="00192FDB"/>
    <w:rsid w:val="00246234"/>
    <w:rsid w:val="00292099"/>
    <w:rsid w:val="002A18A4"/>
    <w:rsid w:val="00302945"/>
    <w:rsid w:val="0030481B"/>
    <w:rsid w:val="00327E85"/>
    <w:rsid w:val="003603D3"/>
    <w:rsid w:val="003621DA"/>
    <w:rsid w:val="0039224D"/>
    <w:rsid w:val="003A6CE8"/>
    <w:rsid w:val="003E1860"/>
    <w:rsid w:val="003F31B2"/>
    <w:rsid w:val="00465A44"/>
    <w:rsid w:val="004A267B"/>
    <w:rsid w:val="004A7B2A"/>
    <w:rsid w:val="004E7DC0"/>
    <w:rsid w:val="00503793"/>
    <w:rsid w:val="0052293D"/>
    <w:rsid w:val="005348EA"/>
    <w:rsid w:val="0053580C"/>
    <w:rsid w:val="005A331A"/>
    <w:rsid w:val="005A7FAD"/>
    <w:rsid w:val="005C189C"/>
    <w:rsid w:val="005E54EE"/>
    <w:rsid w:val="00622EBC"/>
    <w:rsid w:val="00646397"/>
    <w:rsid w:val="006658A1"/>
    <w:rsid w:val="006921ED"/>
    <w:rsid w:val="00742ED1"/>
    <w:rsid w:val="00760CF4"/>
    <w:rsid w:val="007B3106"/>
    <w:rsid w:val="007C0213"/>
    <w:rsid w:val="007D2969"/>
    <w:rsid w:val="00825C6B"/>
    <w:rsid w:val="00830A1F"/>
    <w:rsid w:val="008620BE"/>
    <w:rsid w:val="008F5855"/>
    <w:rsid w:val="008F6390"/>
    <w:rsid w:val="00926687"/>
    <w:rsid w:val="009548CA"/>
    <w:rsid w:val="009B039A"/>
    <w:rsid w:val="009B154E"/>
    <w:rsid w:val="009F7B80"/>
    <w:rsid w:val="00A67A4C"/>
    <w:rsid w:val="00A95E98"/>
    <w:rsid w:val="00AA491E"/>
    <w:rsid w:val="00AF4A36"/>
    <w:rsid w:val="00B25053"/>
    <w:rsid w:val="00B417C3"/>
    <w:rsid w:val="00B4509E"/>
    <w:rsid w:val="00B60ABF"/>
    <w:rsid w:val="00B927C9"/>
    <w:rsid w:val="00BB4E56"/>
    <w:rsid w:val="00BF6C9C"/>
    <w:rsid w:val="00C10E25"/>
    <w:rsid w:val="00C63CEE"/>
    <w:rsid w:val="00C6679F"/>
    <w:rsid w:val="00D267F6"/>
    <w:rsid w:val="00D609D8"/>
    <w:rsid w:val="00D770C2"/>
    <w:rsid w:val="00D8793C"/>
    <w:rsid w:val="00DE7E40"/>
    <w:rsid w:val="00E073A5"/>
    <w:rsid w:val="00E13EF5"/>
    <w:rsid w:val="00E52B81"/>
    <w:rsid w:val="00EA714B"/>
    <w:rsid w:val="00EF40C7"/>
    <w:rsid w:val="00F52F88"/>
    <w:rsid w:val="00F62D3E"/>
    <w:rsid w:val="00F66C1C"/>
    <w:rsid w:val="00F82B7D"/>
    <w:rsid w:val="00FB2AE9"/>
    <w:rsid w:val="00FD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abor.hawaii.gov/wdc/files/2023/05/WIOA-Bulletin-02-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ahuwdb.com/wp-content/uploads/2026/03/9169_MSG.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huwdb.com/wp-content/uploads/2026/02/PY-Dat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708C2-B5D5-4E0D-AE44-8B554EA4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1454</TotalTime>
  <Pages>1</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14404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12</cp:revision>
  <cp:lastPrinted>2024-07-03T01:11:00Z</cp:lastPrinted>
  <dcterms:created xsi:type="dcterms:W3CDTF">2026-02-10T22:42:00Z</dcterms:created>
  <dcterms:modified xsi:type="dcterms:W3CDTF">2026-03-05T18:33:00Z</dcterms:modified>
</cp:coreProperties>
</file>