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bookmarkStart w:id="1" w:name="_GoBack"/>
                      <w:bookmarkEnd w:id="1"/>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FE22B7" w:rsidRDefault="00FE22B7" w:rsidP="00302945">
      <w:pPr>
        <w:jc w:val="center"/>
        <w:rPr>
          <w:b/>
          <w:szCs w:val="24"/>
        </w:rPr>
      </w:pPr>
      <w:r w:rsidRPr="00FE22B7">
        <w:rPr>
          <w:b/>
          <w:szCs w:val="24"/>
        </w:rPr>
        <w:t>EXECUTIVE</w:t>
      </w:r>
      <w:r w:rsidR="00302945" w:rsidRPr="00FE22B7">
        <w:rPr>
          <w:b/>
          <w:szCs w:val="24"/>
        </w:rPr>
        <w:t xml:space="preserve"> </w:t>
      </w:r>
      <w:r w:rsidR="00830A1F" w:rsidRPr="00FE22B7">
        <w:rPr>
          <w:b/>
          <w:szCs w:val="24"/>
        </w:rPr>
        <w:t>COMMITTEE</w:t>
      </w:r>
      <w:r w:rsidR="00F66C1C" w:rsidRPr="00FE22B7">
        <w:rPr>
          <w:b/>
          <w:szCs w:val="24"/>
        </w:rPr>
        <w:t xml:space="preserve"> MEETING</w:t>
      </w:r>
    </w:p>
    <w:p w:rsidR="00F66C1C" w:rsidRPr="00FE22B7" w:rsidRDefault="00FE22B7" w:rsidP="00F66C1C">
      <w:pPr>
        <w:jc w:val="center"/>
        <w:rPr>
          <w:b/>
          <w:szCs w:val="24"/>
        </w:rPr>
      </w:pPr>
      <w:r w:rsidRPr="00FE22B7">
        <w:rPr>
          <w:b/>
          <w:szCs w:val="24"/>
        </w:rPr>
        <w:t>Thursday</w:t>
      </w:r>
      <w:r w:rsidR="00F66C1C" w:rsidRPr="00FE22B7">
        <w:rPr>
          <w:b/>
          <w:szCs w:val="24"/>
        </w:rPr>
        <w:t xml:space="preserve">, </w:t>
      </w:r>
      <w:r w:rsidRPr="00FE22B7">
        <w:rPr>
          <w:b/>
          <w:szCs w:val="24"/>
        </w:rPr>
        <w:t>March 19</w:t>
      </w:r>
      <w:r w:rsidR="00830A1F" w:rsidRPr="00FE22B7">
        <w:rPr>
          <w:b/>
          <w:szCs w:val="24"/>
        </w:rPr>
        <w:t>, 202</w:t>
      </w:r>
      <w:r w:rsidR="00D8793C" w:rsidRPr="00FE22B7">
        <w:rPr>
          <w:b/>
          <w:szCs w:val="24"/>
        </w:rPr>
        <w:t>6</w:t>
      </w:r>
    </w:p>
    <w:p w:rsidR="00F66C1C" w:rsidRPr="00F66C1C" w:rsidRDefault="00830A1F" w:rsidP="00F66C1C">
      <w:pPr>
        <w:jc w:val="center"/>
        <w:rPr>
          <w:b/>
          <w:szCs w:val="24"/>
        </w:rPr>
      </w:pPr>
      <w:r w:rsidRPr="00FE22B7">
        <w:rPr>
          <w:b/>
          <w:szCs w:val="24"/>
        </w:rPr>
        <w:t>1</w:t>
      </w:r>
      <w:r w:rsidR="00302945" w:rsidRPr="00FE22B7">
        <w:rPr>
          <w:b/>
          <w:szCs w:val="24"/>
        </w:rPr>
        <w:t>0:</w:t>
      </w:r>
      <w:r w:rsidR="00FE22B7" w:rsidRPr="00FE22B7">
        <w:rPr>
          <w:b/>
          <w:szCs w:val="24"/>
        </w:rPr>
        <w:t>3</w:t>
      </w:r>
      <w:r w:rsidR="00302945" w:rsidRPr="00FE22B7">
        <w:rPr>
          <w:b/>
          <w:szCs w:val="24"/>
        </w:rPr>
        <w:t>0 a</w:t>
      </w:r>
      <w:r w:rsidRPr="00FE22B7">
        <w:rPr>
          <w:b/>
          <w:szCs w:val="24"/>
        </w:rPr>
        <w:t xml:space="preserve">m to </w:t>
      </w:r>
      <w:r w:rsidR="00302945" w:rsidRPr="00FE22B7">
        <w:rPr>
          <w:b/>
          <w:szCs w:val="24"/>
        </w:rPr>
        <w:t>1</w:t>
      </w:r>
      <w:r w:rsidRPr="00FE22B7">
        <w:rPr>
          <w:b/>
          <w:szCs w:val="24"/>
        </w:rPr>
        <w:t>2</w:t>
      </w:r>
      <w:r w:rsidR="00F66C1C" w:rsidRPr="00FE22B7">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FE22B7" w:rsidP="00F66C1C">
      <w:pPr>
        <w:rPr>
          <w:szCs w:val="24"/>
        </w:rPr>
      </w:pPr>
      <w:r>
        <w:rPr>
          <w:szCs w:val="24"/>
        </w:rPr>
        <w:t>Christopher Lum Lee</w:t>
      </w:r>
    </w:p>
    <w:p w:rsidR="00FE22B7" w:rsidRDefault="00FE22B7" w:rsidP="00F66C1C">
      <w:pPr>
        <w:rPr>
          <w:szCs w:val="24"/>
        </w:rPr>
      </w:pPr>
      <w:r>
        <w:rPr>
          <w:szCs w:val="24"/>
        </w:rPr>
        <w:t>Andrew Rosen</w:t>
      </w:r>
    </w:p>
    <w:p w:rsidR="00FE22B7" w:rsidRDefault="00FE22B7" w:rsidP="00F66C1C">
      <w:pPr>
        <w:rPr>
          <w:szCs w:val="24"/>
        </w:rPr>
      </w:pPr>
      <w:r>
        <w:rPr>
          <w:szCs w:val="24"/>
        </w:rPr>
        <w:t>Suzie Schulberg</w:t>
      </w:r>
    </w:p>
    <w:p w:rsidR="000317FA" w:rsidRDefault="000317FA" w:rsidP="000317FA">
      <w:pPr>
        <w:rPr>
          <w:szCs w:val="24"/>
        </w:rPr>
      </w:pPr>
      <w:r>
        <w:rPr>
          <w:szCs w:val="24"/>
        </w:rPr>
        <w:t>Sarah Guay</w:t>
      </w:r>
    </w:p>
    <w:p w:rsidR="00FE22B7" w:rsidRDefault="00FE22B7" w:rsidP="00F66C1C">
      <w:pPr>
        <w:rPr>
          <w:szCs w:val="24"/>
        </w:rPr>
      </w:pPr>
      <w:r>
        <w:rPr>
          <w:szCs w:val="24"/>
        </w:rPr>
        <w:t>Wesley Akamine</w:t>
      </w:r>
    </w:p>
    <w:p w:rsidR="00ED17E9" w:rsidRPr="00ED17E9" w:rsidRDefault="00ED17E9" w:rsidP="00F66C1C">
      <w:pPr>
        <w:rPr>
          <w:szCs w:val="24"/>
        </w:rPr>
      </w:pPr>
    </w:p>
    <w:p w:rsidR="00F66C1C" w:rsidRPr="00F66C1C" w:rsidRDefault="00F66C1C" w:rsidP="00F66C1C">
      <w:pPr>
        <w:rPr>
          <w:b/>
          <w:szCs w:val="24"/>
          <w:u w:val="single"/>
        </w:rPr>
      </w:pPr>
      <w:r w:rsidRPr="00F66C1C">
        <w:rPr>
          <w:b/>
          <w:szCs w:val="24"/>
          <w:u w:val="single"/>
        </w:rPr>
        <w:t>Guests:</w:t>
      </w:r>
    </w:p>
    <w:p w:rsidR="000317FA" w:rsidRDefault="000317FA" w:rsidP="00F66C1C">
      <w:pPr>
        <w:rPr>
          <w:szCs w:val="24"/>
        </w:rPr>
      </w:pPr>
      <w:r>
        <w:rPr>
          <w:szCs w:val="24"/>
        </w:rPr>
        <w:t>Julianna Lehman</w:t>
      </w:r>
    </w:p>
    <w:p w:rsidR="00DD118E" w:rsidRPr="00FE22B7" w:rsidRDefault="00DD118E" w:rsidP="00F66C1C">
      <w:pPr>
        <w:rPr>
          <w:szCs w:val="24"/>
        </w:rPr>
      </w:pPr>
      <w:r>
        <w:rPr>
          <w:szCs w:val="24"/>
        </w:rPr>
        <w:t>Frederick Pascua</w:t>
      </w:r>
    </w:p>
    <w:p w:rsidR="00FE22B7" w:rsidRPr="00F66C1C" w:rsidRDefault="00FE22B7"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E22B7">
        <w:rPr>
          <w:rFonts w:eastAsiaTheme="minorHAnsi"/>
          <w:snapToGrid/>
          <w:szCs w:val="24"/>
        </w:rPr>
        <w:t xml:space="preserve">The </w:t>
      </w:r>
      <w:r w:rsidR="00FE22B7" w:rsidRPr="00FE22B7">
        <w:rPr>
          <w:rFonts w:eastAsiaTheme="minorHAnsi"/>
          <w:snapToGrid/>
          <w:szCs w:val="24"/>
        </w:rPr>
        <w:t>Executive</w:t>
      </w:r>
      <w:r w:rsidRPr="00FE22B7">
        <w:rPr>
          <w:rFonts w:eastAsiaTheme="minorHAnsi"/>
          <w:snapToGrid/>
          <w:szCs w:val="24"/>
        </w:rPr>
        <w:t xml:space="preserve"> Committee meeting was called to order at </w:t>
      </w:r>
      <w:r w:rsidR="00FE22B7" w:rsidRPr="00FE22B7">
        <w:rPr>
          <w:rFonts w:eastAsiaTheme="minorHAnsi"/>
          <w:snapToGrid/>
          <w:szCs w:val="24"/>
        </w:rPr>
        <w:t>10</w:t>
      </w:r>
      <w:r w:rsidR="000317FA">
        <w:rPr>
          <w:rFonts w:eastAsiaTheme="minorHAnsi"/>
          <w:snapToGrid/>
          <w:szCs w:val="24"/>
        </w:rPr>
        <w:t>:31</w:t>
      </w:r>
      <w:r w:rsidRPr="00FE22B7">
        <w:rPr>
          <w:rFonts w:eastAsiaTheme="minorHAnsi"/>
          <w:snapToGrid/>
          <w:szCs w:val="24"/>
        </w:rPr>
        <w:t xml:space="preserve"> </w:t>
      </w:r>
      <w:r w:rsidR="00FE22B7" w:rsidRPr="00FE22B7">
        <w:rPr>
          <w:rFonts w:eastAsiaTheme="minorHAnsi"/>
          <w:snapToGrid/>
          <w:szCs w:val="24"/>
        </w:rPr>
        <w:t>a</w:t>
      </w:r>
      <w:r w:rsidRPr="00FE22B7">
        <w:rPr>
          <w:rFonts w:eastAsiaTheme="minorHAnsi"/>
          <w:snapToGrid/>
          <w:szCs w:val="24"/>
        </w:rPr>
        <w:t xml:space="preserve">m by </w:t>
      </w:r>
      <w:r w:rsidR="000317FA">
        <w:rPr>
          <w:rFonts w:eastAsiaTheme="minorHAnsi"/>
          <w:snapToGrid/>
          <w:szCs w:val="24"/>
        </w:rPr>
        <w:t xml:space="preserve">Executive </w:t>
      </w:r>
      <w:r w:rsidRPr="00FE22B7">
        <w:rPr>
          <w:rFonts w:eastAsiaTheme="minorHAnsi"/>
          <w:snapToGrid/>
          <w:szCs w:val="24"/>
        </w:rPr>
        <w:t xml:space="preserve">Committee Chair </w:t>
      </w:r>
      <w:r w:rsidR="00FE22B7" w:rsidRPr="00FE22B7">
        <w:rPr>
          <w:rFonts w:eastAsiaTheme="minorHAnsi"/>
          <w:snapToGrid/>
          <w:szCs w:val="24"/>
        </w:rPr>
        <w:t>Christopher Lum</w:t>
      </w:r>
      <w:r w:rsidRPr="00FE22B7">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ED17E9" w:rsidRDefault="00ED17E9" w:rsidP="0053580C">
      <w:pPr>
        <w:ind w:left="1080"/>
      </w:pPr>
    </w:p>
    <w:p w:rsidR="00ED17E9" w:rsidRDefault="00ED17E9" w:rsidP="0053580C">
      <w:pPr>
        <w:ind w:left="1080"/>
      </w:pPr>
    </w:p>
    <w:p w:rsidR="00F66C1C" w:rsidRPr="00F66C1C" w:rsidRDefault="00F66C1C" w:rsidP="0053580C">
      <w:pPr>
        <w:widowControl/>
        <w:spacing w:after="160"/>
        <w:contextualSpacing/>
        <w:rPr>
          <w:rFonts w:eastAsiaTheme="minorHAnsi"/>
          <w:b/>
          <w:snapToGrid/>
          <w:szCs w:val="24"/>
        </w:rPr>
      </w:pPr>
    </w:p>
    <w:p w:rsidR="00D8793C" w:rsidRDefault="00D8793C" w:rsidP="00FE22B7">
      <w:pPr>
        <w:widowControl/>
        <w:numPr>
          <w:ilvl w:val="0"/>
          <w:numId w:val="1"/>
        </w:numPr>
        <w:spacing w:after="160"/>
        <w:contextualSpacing/>
        <w:rPr>
          <w:rFonts w:eastAsiaTheme="minorHAnsi"/>
          <w:b/>
          <w:snapToGrid/>
          <w:szCs w:val="24"/>
        </w:rPr>
      </w:pPr>
      <w:r>
        <w:rPr>
          <w:rFonts w:eastAsiaTheme="minorHAnsi"/>
          <w:b/>
          <w:snapToGrid/>
          <w:szCs w:val="24"/>
        </w:rPr>
        <w:lastRenderedPageBreak/>
        <w:t>Public Testimony Relating to Agenda Items</w:t>
      </w:r>
    </w:p>
    <w:p w:rsidR="00ED17E9" w:rsidRPr="00ED17E9" w:rsidRDefault="00ED17E9" w:rsidP="00ED17E9">
      <w:pPr>
        <w:widowControl/>
        <w:spacing w:after="160"/>
        <w:ind w:left="1080"/>
        <w:contextualSpacing/>
        <w:rPr>
          <w:rFonts w:eastAsiaTheme="minorHAnsi"/>
          <w:snapToGrid/>
          <w:szCs w:val="24"/>
        </w:rPr>
      </w:pPr>
      <w:r>
        <w:rPr>
          <w:rFonts w:eastAsiaTheme="minorHAnsi"/>
          <w:snapToGrid/>
          <w:szCs w:val="24"/>
        </w:rPr>
        <w:t>The public testimony that was received was indicated that it would be shared at the OWDB Full Board meeting.</w:t>
      </w:r>
    </w:p>
    <w:p w:rsidR="00FE22B7" w:rsidRDefault="00FE22B7" w:rsidP="00D8793C">
      <w:pPr>
        <w:widowControl/>
        <w:spacing w:after="160"/>
        <w:ind w:left="1080"/>
        <w:contextualSpacing/>
        <w:rPr>
          <w:rFonts w:eastAsiaTheme="minorHAnsi"/>
          <w:b/>
          <w:snapToGrid/>
          <w:szCs w:val="24"/>
        </w:rPr>
      </w:pPr>
    </w:p>
    <w:p w:rsidR="00FE22B7" w:rsidRDefault="00F66C1C" w:rsidP="00FE22B7">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FE22B7">
        <w:rPr>
          <w:rFonts w:eastAsiaTheme="minorHAnsi"/>
          <w:b/>
          <w:snapToGrid/>
          <w:szCs w:val="24"/>
        </w:rPr>
        <w:t xml:space="preserve">October 9, 2025 Meeting </w:t>
      </w:r>
      <w:r w:rsidRPr="00F66C1C">
        <w:rPr>
          <w:rFonts w:eastAsiaTheme="minorHAnsi"/>
          <w:b/>
          <w:snapToGrid/>
          <w:szCs w:val="24"/>
        </w:rPr>
        <w:t>Minutes</w:t>
      </w:r>
    </w:p>
    <w:p w:rsidR="00F66C1C" w:rsidRPr="00FE22B7" w:rsidRDefault="00F66C1C" w:rsidP="00FE22B7">
      <w:pPr>
        <w:widowControl/>
        <w:spacing w:after="160"/>
        <w:ind w:left="1080"/>
        <w:contextualSpacing/>
        <w:rPr>
          <w:rFonts w:eastAsiaTheme="minorHAnsi"/>
          <w:b/>
          <w:snapToGrid/>
          <w:szCs w:val="24"/>
        </w:rPr>
      </w:pPr>
      <w:r w:rsidRPr="00FE22B7">
        <w:rPr>
          <w:rFonts w:eastAsiaTheme="minorHAnsi"/>
          <w:snapToGrid/>
          <w:szCs w:val="24"/>
        </w:rPr>
        <w:t xml:space="preserve">Chair </w:t>
      </w:r>
      <w:r w:rsidR="00FE22B7" w:rsidRPr="00FE22B7">
        <w:rPr>
          <w:rFonts w:eastAsiaTheme="minorHAnsi"/>
          <w:snapToGrid/>
          <w:szCs w:val="24"/>
        </w:rPr>
        <w:t>Christopher Lum</w:t>
      </w:r>
      <w:r w:rsidRPr="00FE22B7">
        <w:rPr>
          <w:rFonts w:eastAsiaTheme="minorHAnsi"/>
          <w:snapToGrid/>
          <w:szCs w:val="24"/>
        </w:rPr>
        <w:t xml:space="preserve"> Lee requested a motion to approve the minutes for the </w:t>
      </w:r>
      <w:r w:rsidR="00FE22B7">
        <w:rPr>
          <w:rFonts w:eastAsiaTheme="minorHAnsi"/>
          <w:snapToGrid/>
          <w:szCs w:val="24"/>
        </w:rPr>
        <w:t>October 9, 2025</w:t>
      </w:r>
      <w:r w:rsidRPr="00FE22B7">
        <w:rPr>
          <w:rFonts w:eastAsiaTheme="minorHAnsi"/>
          <w:snapToGrid/>
          <w:szCs w:val="24"/>
        </w:rPr>
        <w:t xml:space="preserve">, meeting. </w:t>
      </w:r>
      <w:r w:rsidR="000317FA">
        <w:rPr>
          <w:rFonts w:eastAsiaTheme="minorHAnsi"/>
          <w:snapToGrid/>
          <w:szCs w:val="24"/>
        </w:rPr>
        <w:t>Andrew Rosen</w:t>
      </w:r>
      <w:r w:rsidRPr="00FE22B7">
        <w:rPr>
          <w:rFonts w:eastAsiaTheme="minorHAnsi"/>
          <w:snapToGrid/>
          <w:szCs w:val="24"/>
        </w:rPr>
        <w:t xml:space="preserve"> moved to approve the minutes. </w:t>
      </w:r>
      <w:r w:rsidR="000317FA">
        <w:rPr>
          <w:rFonts w:eastAsiaTheme="minorHAnsi"/>
          <w:snapToGrid/>
          <w:szCs w:val="24"/>
        </w:rPr>
        <w:t>Suzie Schulberg</w:t>
      </w:r>
      <w:r w:rsidRPr="00FE22B7">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ED17E9" w:rsidRDefault="00FE22B7" w:rsidP="00F66C1C">
      <w:pPr>
        <w:widowControl/>
        <w:numPr>
          <w:ilvl w:val="0"/>
          <w:numId w:val="1"/>
        </w:numPr>
        <w:spacing w:after="160"/>
        <w:contextualSpacing/>
        <w:rPr>
          <w:rFonts w:eastAsiaTheme="minorHAnsi"/>
          <w:b/>
          <w:snapToGrid/>
          <w:szCs w:val="24"/>
        </w:rPr>
      </w:pPr>
      <w:r w:rsidRPr="00ED17E9">
        <w:rPr>
          <w:rFonts w:eastAsiaTheme="minorHAnsi"/>
          <w:b/>
          <w:snapToGrid/>
          <w:szCs w:val="24"/>
        </w:rPr>
        <w:t>One Stop Operator (OSO) Corrective Action</w:t>
      </w:r>
    </w:p>
    <w:p w:rsidR="00ED17E9" w:rsidRDefault="00ED17E9" w:rsidP="00ED17E9">
      <w:pPr>
        <w:widowControl/>
        <w:ind w:left="1080"/>
        <w:contextualSpacing/>
        <w:rPr>
          <w:rFonts w:eastAsiaTheme="minorHAnsi"/>
          <w:snapToGrid/>
          <w:szCs w:val="24"/>
        </w:rPr>
      </w:pPr>
      <w:r>
        <w:rPr>
          <w:rFonts w:eastAsiaTheme="minorHAnsi"/>
          <w:snapToGrid/>
          <w:szCs w:val="24"/>
        </w:rPr>
        <w:t>Chair Christopher Lum Lee brought up the recommendation from the Performance Measures and Accountability Committee meeting to impose a corrective action on the OSO to get into contractual compliance.</w:t>
      </w:r>
    </w:p>
    <w:p w:rsidR="00ED17E9" w:rsidRDefault="00ED17E9" w:rsidP="00ED17E9">
      <w:pPr>
        <w:pStyle w:val="ListParagraph"/>
        <w:numPr>
          <w:ilvl w:val="0"/>
          <w:numId w:val="3"/>
        </w:numPr>
        <w:spacing w:after="0"/>
        <w:rPr>
          <w:rFonts w:ascii="Times New Roman" w:hAnsi="Times New Roman" w:cs="Times New Roman"/>
          <w:sz w:val="24"/>
          <w:szCs w:val="24"/>
        </w:rPr>
      </w:pPr>
      <w:r w:rsidRPr="00ED17E9">
        <w:rPr>
          <w:rFonts w:ascii="Times New Roman" w:hAnsi="Times New Roman" w:cs="Times New Roman"/>
          <w:sz w:val="24"/>
          <w:szCs w:val="24"/>
        </w:rPr>
        <w:t xml:space="preserve">Suzie Schulberg wanted to clarify that the motion from Performance Measures and Accountability committee was to impose a 30-day corrective action on the </w:t>
      </w:r>
      <w:r w:rsidR="00322A63">
        <w:rPr>
          <w:rFonts w:ascii="Times New Roman" w:hAnsi="Times New Roman" w:cs="Times New Roman"/>
          <w:sz w:val="24"/>
          <w:szCs w:val="24"/>
        </w:rPr>
        <w:t>OSO</w:t>
      </w:r>
      <w:r w:rsidRPr="00ED17E9">
        <w:rPr>
          <w:rFonts w:ascii="Times New Roman" w:hAnsi="Times New Roman" w:cs="Times New Roman"/>
          <w:sz w:val="24"/>
          <w:szCs w:val="24"/>
        </w:rPr>
        <w:t xml:space="preserve"> to ensure that the </w:t>
      </w:r>
      <w:r>
        <w:rPr>
          <w:rFonts w:ascii="Times New Roman" w:hAnsi="Times New Roman" w:cs="Times New Roman"/>
          <w:sz w:val="24"/>
          <w:szCs w:val="24"/>
        </w:rPr>
        <w:t>Workforce Innovation and Opportunity Act (WIOA) Title I programs get into compliance for the Measurable Skill Gains performance metric.</w:t>
      </w:r>
    </w:p>
    <w:p w:rsidR="00804683" w:rsidRDefault="00804683" w:rsidP="00804683">
      <w:pPr>
        <w:rPr>
          <w:szCs w:val="24"/>
        </w:rPr>
      </w:pPr>
    </w:p>
    <w:p w:rsidR="00804683" w:rsidRDefault="0095423E" w:rsidP="00804683">
      <w:pPr>
        <w:ind w:left="1080"/>
        <w:rPr>
          <w:szCs w:val="24"/>
        </w:rPr>
      </w:pPr>
      <w:r>
        <w:rPr>
          <w:szCs w:val="24"/>
        </w:rPr>
        <w:t xml:space="preserve">The </w:t>
      </w:r>
      <w:r>
        <w:rPr>
          <w:szCs w:val="24"/>
        </w:rPr>
        <w:t xml:space="preserve">Executive Committee meeting </w:t>
      </w:r>
      <w:r>
        <w:rPr>
          <w:szCs w:val="24"/>
        </w:rPr>
        <w:t>that was held on March 11, 2026 was deemed unallowable/defunct via State OIP for violating the Sunshine Law. A transcript of the meeting can be found at the following link:</w:t>
      </w:r>
    </w:p>
    <w:p w:rsidR="0095423E" w:rsidRPr="00804683" w:rsidRDefault="0095423E" w:rsidP="00804683">
      <w:pPr>
        <w:ind w:left="1080"/>
        <w:rPr>
          <w:szCs w:val="24"/>
        </w:rPr>
      </w:pPr>
      <w:hyperlink r:id="rId11" w:history="1">
        <w:r w:rsidRPr="006A250E">
          <w:rPr>
            <w:rStyle w:val="Hyperlink"/>
            <w:szCs w:val="24"/>
          </w:rPr>
          <w:t>https://oahuwdb.com/wp-content/uploads/2026/04/3.11.26-Executive-Meeting-Transcript.docx</w:t>
        </w:r>
      </w:hyperlink>
      <w:r>
        <w:rPr>
          <w:szCs w:val="24"/>
        </w:rPr>
        <w:t xml:space="preserve"> </w:t>
      </w:r>
      <w:bookmarkStart w:id="0" w:name="_GoBack"/>
      <w:bookmarkEnd w:id="0"/>
    </w:p>
    <w:p w:rsidR="00ED17E9" w:rsidRDefault="00ED17E9" w:rsidP="00F66C1C">
      <w:pPr>
        <w:widowControl/>
        <w:spacing w:after="160"/>
        <w:ind w:left="1080"/>
        <w:contextualSpacing/>
        <w:rPr>
          <w:rFonts w:eastAsiaTheme="minorHAnsi"/>
          <w:snapToGrid/>
          <w:szCs w:val="24"/>
        </w:rPr>
      </w:pPr>
    </w:p>
    <w:p w:rsidR="00DD118E" w:rsidRPr="00F66C1C" w:rsidRDefault="00804683" w:rsidP="00F66C1C">
      <w:pPr>
        <w:widowControl/>
        <w:spacing w:after="160"/>
        <w:ind w:left="1080"/>
        <w:contextualSpacing/>
        <w:rPr>
          <w:rFonts w:eastAsiaTheme="minorHAnsi"/>
          <w:snapToGrid/>
          <w:szCs w:val="24"/>
        </w:rPr>
      </w:pPr>
      <w:r>
        <w:rPr>
          <w:rFonts w:eastAsiaTheme="minorHAnsi"/>
          <w:snapToGrid/>
          <w:szCs w:val="24"/>
        </w:rPr>
        <w:t>Cha</w:t>
      </w:r>
      <w:r w:rsidR="00ED17E9">
        <w:rPr>
          <w:rFonts w:eastAsiaTheme="minorHAnsi"/>
          <w:snapToGrid/>
          <w:szCs w:val="24"/>
        </w:rPr>
        <w:t>i</w:t>
      </w:r>
      <w:r>
        <w:rPr>
          <w:rFonts w:eastAsiaTheme="minorHAnsi"/>
          <w:snapToGrid/>
          <w:szCs w:val="24"/>
        </w:rPr>
        <w:t>r</w:t>
      </w:r>
      <w:r w:rsidR="00ED17E9">
        <w:rPr>
          <w:rFonts w:eastAsiaTheme="minorHAnsi"/>
          <w:snapToGrid/>
          <w:szCs w:val="24"/>
        </w:rPr>
        <w:t xml:space="preserve"> Christopher Lum Lee requested a motion to impose the 30-day corrective action on the </w:t>
      </w:r>
      <w:r w:rsidR="00322A63">
        <w:rPr>
          <w:rFonts w:eastAsiaTheme="minorHAnsi"/>
          <w:snapToGrid/>
          <w:szCs w:val="24"/>
        </w:rPr>
        <w:t>OSO</w:t>
      </w:r>
      <w:r w:rsidR="00ED17E9">
        <w:rPr>
          <w:rFonts w:eastAsiaTheme="minorHAnsi"/>
          <w:snapToGrid/>
          <w:szCs w:val="24"/>
        </w:rPr>
        <w:t xml:space="preserve"> ensuring that WIOA Title I programs get into contractual compliance with the Measurable Skill Gains performance metric. </w:t>
      </w:r>
      <w:r w:rsidR="00DD118E">
        <w:rPr>
          <w:rFonts w:eastAsiaTheme="minorHAnsi"/>
          <w:snapToGrid/>
          <w:szCs w:val="24"/>
        </w:rPr>
        <w:t>Suzie Schulberg moved</w:t>
      </w:r>
      <w:r w:rsidR="00322A63">
        <w:rPr>
          <w:rFonts w:eastAsiaTheme="minorHAnsi"/>
          <w:snapToGrid/>
          <w:szCs w:val="24"/>
        </w:rPr>
        <w:t xml:space="preserve"> to impose the 30-day corrective action on the OSO to ensure that WIOA Title I programs get into contractual compliance with the Measurable Skill Gains performance metric.</w:t>
      </w:r>
      <w:r w:rsidR="00DD118E">
        <w:rPr>
          <w:rFonts w:eastAsiaTheme="minorHAnsi"/>
          <w:snapToGrid/>
          <w:szCs w:val="24"/>
        </w:rPr>
        <w:t xml:space="preserve"> Andrew Rosen second</w:t>
      </w:r>
      <w:r w:rsidR="00322A63">
        <w:rPr>
          <w:rFonts w:eastAsiaTheme="minorHAnsi"/>
          <w:snapToGrid/>
          <w:szCs w:val="24"/>
        </w:rPr>
        <w:t>ed the motion. There were no objections or abstentions. The motion was approved unanimously.</w:t>
      </w:r>
    </w:p>
    <w:p w:rsidR="00F66C1C" w:rsidRPr="00F66C1C" w:rsidRDefault="00F66C1C" w:rsidP="00F66C1C">
      <w:pPr>
        <w:widowControl/>
        <w:spacing w:after="160"/>
        <w:ind w:left="1080"/>
        <w:contextualSpacing/>
        <w:rPr>
          <w:rFonts w:eastAsiaTheme="minorHAnsi"/>
          <w:b/>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322A63" w:rsidP="00F66C1C">
      <w:pPr>
        <w:widowControl/>
        <w:spacing w:after="160"/>
        <w:ind w:left="1080"/>
        <w:contextualSpacing/>
        <w:rPr>
          <w:rFonts w:eastAsiaTheme="minorHAnsi"/>
          <w:snapToGrid/>
          <w:szCs w:val="24"/>
        </w:rPr>
      </w:pPr>
      <w:r>
        <w:rPr>
          <w:rFonts w:eastAsiaTheme="minorHAnsi"/>
          <w:snapToGrid/>
          <w:szCs w:val="24"/>
        </w:rPr>
        <w:t>Chair Christopher Lum Lee announced that the next Executive Committee meeting is tentatively scheduled for April 9</w:t>
      </w:r>
      <w:r w:rsidRPr="00322A63">
        <w:rPr>
          <w:rFonts w:eastAsiaTheme="minorHAnsi"/>
          <w:snapToGrid/>
          <w:szCs w:val="24"/>
          <w:vertAlign w:val="superscript"/>
        </w:rPr>
        <w:t>th</w:t>
      </w:r>
      <w:r>
        <w:rPr>
          <w:rFonts w:eastAsiaTheme="minorHAnsi"/>
          <w:snapToGrid/>
          <w:szCs w:val="24"/>
        </w:rPr>
        <w:t xml:space="preserve"> from 12:00 pm to 1:00 pm.</w:t>
      </w:r>
    </w:p>
    <w:p w:rsidR="00F66C1C" w:rsidRPr="00F66C1C" w:rsidRDefault="00F66C1C" w:rsidP="00FE22B7">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FE22B7" w:rsidRPr="00FE22B7">
        <w:rPr>
          <w:rFonts w:eastAsiaTheme="minorHAnsi"/>
          <w:snapToGrid/>
          <w:szCs w:val="24"/>
        </w:rPr>
        <w:t>Christopher Lum</w:t>
      </w:r>
      <w:r w:rsidRPr="00FE22B7">
        <w:rPr>
          <w:rFonts w:eastAsiaTheme="minorHAnsi"/>
          <w:snapToGrid/>
          <w:szCs w:val="24"/>
        </w:rPr>
        <w:t xml:space="preserve"> Lee</w:t>
      </w:r>
      <w:r w:rsidRPr="00F66C1C">
        <w:rPr>
          <w:rFonts w:eastAsiaTheme="minorHAnsi"/>
          <w:snapToGrid/>
          <w:szCs w:val="24"/>
        </w:rPr>
        <w:t xml:space="preserve"> adjourned the meeting at </w:t>
      </w:r>
      <w:r w:rsidR="00DD118E">
        <w:rPr>
          <w:rFonts w:eastAsiaTheme="minorHAnsi"/>
          <w:snapToGrid/>
          <w:szCs w:val="24"/>
        </w:rPr>
        <w:t>10:36 am.</w:t>
      </w:r>
      <w:r w:rsidRPr="00F66C1C">
        <w:rPr>
          <w:rFonts w:eastAsiaTheme="minorHAnsi"/>
          <w:snapToGrid/>
          <w:szCs w:val="24"/>
        </w:rPr>
        <w:t xml:space="preserve">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5E" w:rsidRDefault="00C31E5E" w:rsidP="00F66C1C">
      <w:r>
        <w:separator/>
      </w:r>
    </w:p>
  </w:endnote>
  <w:endnote w:type="continuationSeparator" w:id="0">
    <w:p w:rsidR="00C31E5E" w:rsidRDefault="00C31E5E"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5E" w:rsidRDefault="00C31E5E" w:rsidP="00F66C1C">
      <w:r>
        <w:separator/>
      </w:r>
    </w:p>
  </w:footnote>
  <w:footnote w:type="continuationSeparator" w:id="0">
    <w:p w:rsidR="00C31E5E" w:rsidRDefault="00C31E5E"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C31E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6D64F2"/>
    <w:multiLevelType w:val="hybridMultilevel"/>
    <w:tmpl w:val="D4346D7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317FA"/>
    <w:rsid w:val="00246234"/>
    <w:rsid w:val="00292099"/>
    <w:rsid w:val="002A18A4"/>
    <w:rsid w:val="00302945"/>
    <w:rsid w:val="00322A63"/>
    <w:rsid w:val="003A6CE8"/>
    <w:rsid w:val="00465A44"/>
    <w:rsid w:val="0047562D"/>
    <w:rsid w:val="004A7B2A"/>
    <w:rsid w:val="004E7DC0"/>
    <w:rsid w:val="0053580C"/>
    <w:rsid w:val="005C189C"/>
    <w:rsid w:val="00643D5A"/>
    <w:rsid w:val="00646397"/>
    <w:rsid w:val="006658A1"/>
    <w:rsid w:val="006921ED"/>
    <w:rsid w:val="00732F78"/>
    <w:rsid w:val="00742ED1"/>
    <w:rsid w:val="007B281C"/>
    <w:rsid w:val="00804683"/>
    <w:rsid w:val="00830A1F"/>
    <w:rsid w:val="008F5855"/>
    <w:rsid w:val="008F6390"/>
    <w:rsid w:val="0095423E"/>
    <w:rsid w:val="009548CA"/>
    <w:rsid w:val="009F7B80"/>
    <w:rsid w:val="00AA491E"/>
    <w:rsid w:val="00B25053"/>
    <w:rsid w:val="00BF6C9C"/>
    <w:rsid w:val="00C31E5E"/>
    <w:rsid w:val="00C63CEE"/>
    <w:rsid w:val="00D8793C"/>
    <w:rsid w:val="00DD118E"/>
    <w:rsid w:val="00ED17E9"/>
    <w:rsid w:val="00EF40C7"/>
    <w:rsid w:val="00F62D3E"/>
    <w:rsid w:val="00F66C1C"/>
    <w:rsid w:val="00FE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4/3.11.26-Executive-Meeting-Transcrip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5FDF-D395-470D-862C-FFB1B9F6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7</cp:revision>
  <cp:lastPrinted>2024-07-03T01:11:00Z</cp:lastPrinted>
  <dcterms:created xsi:type="dcterms:W3CDTF">2026-03-17T18:14:00Z</dcterms:created>
  <dcterms:modified xsi:type="dcterms:W3CDTF">2026-04-09T18:03:00Z</dcterms:modified>
</cp:coreProperties>
</file>