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AE2141" w:rsidP="00302945">
      <w:pPr>
        <w:jc w:val="center"/>
        <w:rPr>
          <w:b/>
          <w:szCs w:val="24"/>
        </w:rPr>
      </w:pPr>
      <w:r w:rsidRPr="00AE2141">
        <w:rPr>
          <w:b/>
          <w:szCs w:val="24"/>
        </w:rPr>
        <w:t>FINANCE</w:t>
      </w:r>
      <w:r w:rsidR="00302945" w:rsidRPr="00AE2141">
        <w:rPr>
          <w:b/>
          <w:szCs w:val="24"/>
        </w:rPr>
        <w:t xml:space="preserve"> </w:t>
      </w:r>
      <w:r w:rsidR="00830A1F" w:rsidRPr="00AE2141">
        <w:rPr>
          <w:b/>
          <w:szCs w:val="24"/>
        </w:rPr>
        <w:t>COMMITTEE</w:t>
      </w:r>
      <w:r w:rsidR="00F66C1C" w:rsidRPr="00830A1F">
        <w:rPr>
          <w:b/>
          <w:szCs w:val="24"/>
        </w:rPr>
        <w:t xml:space="preserve"> MEETING</w:t>
      </w:r>
    </w:p>
    <w:p w:rsidR="00F66C1C" w:rsidRPr="00830A1F" w:rsidRDefault="00AE2141" w:rsidP="00F66C1C">
      <w:pPr>
        <w:jc w:val="center"/>
        <w:rPr>
          <w:b/>
          <w:szCs w:val="24"/>
        </w:rPr>
      </w:pPr>
      <w:r>
        <w:rPr>
          <w:b/>
          <w:szCs w:val="24"/>
        </w:rPr>
        <w:t>Thursday</w:t>
      </w:r>
      <w:r w:rsidR="00F66C1C" w:rsidRPr="00830A1F">
        <w:rPr>
          <w:b/>
          <w:szCs w:val="24"/>
        </w:rPr>
        <w:t xml:space="preserve">, </w:t>
      </w:r>
      <w:r>
        <w:rPr>
          <w:b/>
          <w:szCs w:val="24"/>
        </w:rPr>
        <w:t>April 9</w:t>
      </w:r>
      <w:r w:rsidR="00830A1F" w:rsidRPr="00830A1F">
        <w:rPr>
          <w:b/>
          <w:szCs w:val="24"/>
        </w:rPr>
        <w:t>, 202</w:t>
      </w:r>
      <w:r w:rsidR="00D8793C">
        <w:rPr>
          <w:b/>
          <w:szCs w:val="24"/>
        </w:rPr>
        <w:t>6</w:t>
      </w:r>
    </w:p>
    <w:p w:rsidR="00F66C1C" w:rsidRPr="00F66C1C" w:rsidRDefault="00830A1F" w:rsidP="00F66C1C">
      <w:pPr>
        <w:jc w:val="center"/>
        <w:rPr>
          <w:b/>
          <w:szCs w:val="24"/>
        </w:rPr>
      </w:pPr>
      <w:r w:rsidRPr="00830A1F">
        <w:rPr>
          <w:b/>
          <w:szCs w:val="24"/>
        </w:rPr>
        <w:t>1</w:t>
      </w:r>
      <w:r w:rsidR="00AE2141">
        <w:rPr>
          <w:b/>
          <w:szCs w:val="24"/>
        </w:rPr>
        <w:t>1</w:t>
      </w:r>
      <w:r w:rsidR="00302945">
        <w:rPr>
          <w:b/>
          <w:szCs w:val="24"/>
        </w:rPr>
        <w:t>:00 a</w:t>
      </w:r>
      <w:r w:rsidRPr="00830A1F">
        <w:rPr>
          <w:b/>
          <w:szCs w:val="24"/>
        </w:rPr>
        <w:t xml:space="preserve">m to </w:t>
      </w:r>
      <w:r w:rsidR="00302945">
        <w:rPr>
          <w:b/>
          <w:szCs w:val="24"/>
        </w:rPr>
        <w:t>1</w:t>
      </w:r>
      <w:r w:rsidRPr="00830A1F">
        <w:rPr>
          <w:b/>
          <w:szCs w:val="24"/>
        </w:rPr>
        <w:t>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AE2141" w:rsidP="00F66C1C">
      <w:pPr>
        <w:rPr>
          <w:szCs w:val="24"/>
        </w:rPr>
      </w:pPr>
      <w:r>
        <w:rPr>
          <w:szCs w:val="24"/>
        </w:rPr>
        <w:t>Christopher Lum Lee</w:t>
      </w:r>
    </w:p>
    <w:p w:rsidR="00AE2141" w:rsidRDefault="00AE2141" w:rsidP="00F66C1C">
      <w:pPr>
        <w:rPr>
          <w:szCs w:val="24"/>
        </w:rPr>
      </w:pPr>
      <w:r>
        <w:rPr>
          <w:szCs w:val="24"/>
        </w:rPr>
        <w:t>Andrew Rosen</w:t>
      </w:r>
    </w:p>
    <w:p w:rsidR="00AE2141" w:rsidRDefault="00AE2141" w:rsidP="00F66C1C">
      <w:pPr>
        <w:rPr>
          <w:szCs w:val="24"/>
        </w:rPr>
      </w:pPr>
      <w:r>
        <w:rPr>
          <w:szCs w:val="24"/>
        </w:rPr>
        <w:t>Wesley Akamine</w:t>
      </w:r>
    </w:p>
    <w:p w:rsidR="00AE2141" w:rsidRDefault="00AE2141" w:rsidP="00F66C1C">
      <w:pPr>
        <w:rPr>
          <w:szCs w:val="24"/>
        </w:rPr>
      </w:pPr>
      <w:r>
        <w:rPr>
          <w:szCs w:val="24"/>
        </w:rPr>
        <w:t>Andrew Rosen</w:t>
      </w:r>
    </w:p>
    <w:p w:rsidR="007D3449" w:rsidRPr="00AE2141" w:rsidRDefault="007D3449" w:rsidP="00F66C1C">
      <w:pPr>
        <w:rPr>
          <w:szCs w:val="24"/>
        </w:rPr>
      </w:pPr>
      <w:r>
        <w:rPr>
          <w:szCs w:val="24"/>
        </w:rPr>
        <w:t>Lisel Coles, (Designee for Lisa Truong Kracher)</w:t>
      </w:r>
    </w:p>
    <w:p w:rsidR="00AE2141" w:rsidRPr="00F66C1C" w:rsidRDefault="00AE2141" w:rsidP="00F66C1C">
      <w:pPr>
        <w:rPr>
          <w:b/>
          <w:szCs w:val="24"/>
          <w:u w:val="single"/>
        </w:rPr>
      </w:pPr>
    </w:p>
    <w:p w:rsidR="00F66C1C" w:rsidRPr="00F66C1C" w:rsidRDefault="00F66C1C" w:rsidP="00F66C1C">
      <w:pPr>
        <w:rPr>
          <w:b/>
          <w:szCs w:val="24"/>
          <w:u w:val="single"/>
        </w:rPr>
      </w:pPr>
      <w:r w:rsidRPr="00F66C1C">
        <w:rPr>
          <w:b/>
          <w:szCs w:val="24"/>
          <w:u w:val="single"/>
        </w:rPr>
        <w:t>Guests:</w:t>
      </w:r>
    </w:p>
    <w:p w:rsidR="00F66C1C" w:rsidRDefault="00AE2141" w:rsidP="00F66C1C">
      <w:pPr>
        <w:rPr>
          <w:szCs w:val="24"/>
        </w:rPr>
      </w:pPr>
      <w:r>
        <w:rPr>
          <w:szCs w:val="24"/>
        </w:rPr>
        <w:t>Andrea Gaines,</w:t>
      </w:r>
      <w:r w:rsidR="00DC6C0B">
        <w:rPr>
          <w:szCs w:val="24"/>
        </w:rPr>
        <w:t xml:space="preserve"> WorkHawaii Division, Assistant Administrator</w:t>
      </w:r>
    </w:p>
    <w:p w:rsidR="00DC6C0B" w:rsidRPr="00AE2141" w:rsidRDefault="00DC6C0B" w:rsidP="00DC6C0B">
      <w:pPr>
        <w:rPr>
          <w:szCs w:val="24"/>
        </w:rPr>
      </w:pPr>
      <w:r>
        <w:rPr>
          <w:szCs w:val="24"/>
        </w:rPr>
        <w:t>Lee Williams-Naeole, WorkHawaii Division, WIOA Title I Programs Manager</w:t>
      </w:r>
    </w:p>
    <w:p w:rsidR="00AE2141" w:rsidRDefault="00AE2141" w:rsidP="00F66C1C">
      <w:pPr>
        <w:rPr>
          <w:szCs w:val="24"/>
        </w:rPr>
      </w:pPr>
      <w:r>
        <w:rPr>
          <w:szCs w:val="24"/>
        </w:rPr>
        <w:t>Colin Inamasu,</w:t>
      </w:r>
      <w:r w:rsidR="00DC6C0B">
        <w:rPr>
          <w:szCs w:val="24"/>
        </w:rPr>
        <w:t xml:space="preserve"> WorkHawaii Division, Planner</w:t>
      </w:r>
    </w:p>
    <w:p w:rsidR="00AE2141" w:rsidRPr="00F66C1C" w:rsidRDefault="00AE2141"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8827BB" w:rsidRPr="008827BB">
        <w:rPr>
          <w:rFonts w:eastAsiaTheme="minorHAnsi"/>
          <w:snapToGrid/>
          <w:szCs w:val="24"/>
        </w:rPr>
        <w:t>Finance</w:t>
      </w:r>
      <w:r w:rsidRPr="008827BB">
        <w:rPr>
          <w:rFonts w:eastAsiaTheme="minorHAnsi"/>
          <w:snapToGrid/>
          <w:szCs w:val="24"/>
        </w:rPr>
        <w:t xml:space="preserve"> Committee</w:t>
      </w:r>
      <w:r w:rsidRPr="00F66C1C">
        <w:rPr>
          <w:rFonts w:eastAsiaTheme="minorHAnsi"/>
          <w:snapToGrid/>
          <w:szCs w:val="24"/>
        </w:rPr>
        <w:t xml:space="preserve"> meeting was called to order at </w:t>
      </w:r>
      <w:r w:rsidR="00DC6C0B" w:rsidRPr="00DC6C0B">
        <w:rPr>
          <w:rFonts w:eastAsiaTheme="minorHAnsi"/>
          <w:snapToGrid/>
          <w:szCs w:val="24"/>
        </w:rPr>
        <w:t>11:01</w:t>
      </w:r>
      <w:r w:rsidRPr="00DC6C0B">
        <w:rPr>
          <w:rFonts w:eastAsiaTheme="minorHAnsi"/>
          <w:snapToGrid/>
          <w:szCs w:val="24"/>
        </w:rPr>
        <w:t xml:space="preserve"> </w:t>
      </w:r>
      <w:r w:rsidR="008827BB" w:rsidRPr="008827BB">
        <w:rPr>
          <w:rFonts w:eastAsiaTheme="minorHAnsi"/>
          <w:snapToGrid/>
          <w:szCs w:val="24"/>
        </w:rPr>
        <w:t>a</w:t>
      </w:r>
      <w:r w:rsidRPr="008827BB">
        <w:rPr>
          <w:rFonts w:eastAsiaTheme="minorHAnsi"/>
          <w:snapToGrid/>
          <w:szCs w:val="24"/>
        </w:rPr>
        <w:t xml:space="preserve">m by Committee Chair </w:t>
      </w:r>
      <w:r w:rsidR="008827BB" w:rsidRPr="008827BB">
        <w:rPr>
          <w:rFonts w:eastAsiaTheme="minorHAnsi"/>
          <w:snapToGrid/>
          <w:szCs w:val="24"/>
        </w:rPr>
        <w:t>Christopher Lum</w:t>
      </w:r>
      <w:r w:rsidRPr="008827BB">
        <w:rPr>
          <w:rFonts w:eastAsiaTheme="minorHAnsi"/>
          <w:snapToGrid/>
          <w:szCs w:val="24"/>
        </w:rPr>
        <w:t xml:space="preserve"> Lee</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DC6C0B" w:rsidRDefault="00DC6C0B" w:rsidP="0053580C">
      <w:pPr>
        <w:ind w:left="1080"/>
      </w:pP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Public Testimony Relating to Agenda Items</w:t>
      </w:r>
    </w:p>
    <w:p w:rsidR="00DC6C0B" w:rsidRPr="00DC6C0B" w:rsidRDefault="00DC6C0B" w:rsidP="00DC6C0B">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F66C1C" w:rsidRPr="00F744F5" w:rsidRDefault="00F66C1C" w:rsidP="00F744F5">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F744F5">
        <w:rPr>
          <w:rFonts w:eastAsiaTheme="minorHAnsi"/>
          <w:b/>
          <w:snapToGrid/>
          <w:szCs w:val="24"/>
        </w:rPr>
        <w:t xml:space="preserve">January 15, 2026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F744F5">
        <w:rPr>
          <w:rFonts w:eastAsiaTheme="minorHAnsi"/>
          <w:snapToGrid/>
          <w:szCs w:val="24"/>
        </w:rPr>
        <w:t>Christopher Lum Lee</w:t>
      </w:r>
      <w:r w:rsidRPr="00F66C1C">
        <w:rPr>
          <w:rFonts w:eastAsiaTheme="minorHAnsi"/>
          <w:snapToGrid/>
          <w:szCs w:val="24"/>
        </w:rPr>
        <w:t xml:space="preserve"> requested a motion to approve the minutes for the </w:t>
      </w:r>
      <w:r w:rsidR="00F744F5">
        <w:rPr>
          <w:rFonts w:eastAsiaTheme="minorHAnsi"/>
          <w:snapToGrid/>
          <w:szCs w:val="24"/>
        </w:rPr>
        <w:t>January 15, 2026,</w:t>
      </w:r>
      <w:r w:rsidRPr="00F66C1C">
        <w:rPr>
          <w:rFonts w:eastAsiaTheme="minorHAnsi"/>
          <w:snapToGrid/>
          <w:szCs w:val="24"/>
        </w:rPr>
        <w:t xml:space="preserve"> meeting. </w:t>
      </w:r>
      <w:r w:rsidR="00AE2141">
        <w:rPr>
          <w:rFonts w:eastAsiaTheme="minorHAnsi"/>
          <w:snapToGrid/>
          <w:szCs w:val="24"/>
        </w:rPr>
        <w:t>Trevor Bracher</w:t>
      </w:r>
      <w:r w:rsidRPr="00F66C1C">
        <w:rPr>
          <w:rFonts w:eastAsiaTheme="minorHAnsi"/>
          <w:snapToGrid/>
          <w:szCs w:val="24"/>
        </w:rPr>
        <w:t xml:space="preserve"> moved to approve the minutes. </w:t>
      </w:r>
      <w:r w:rsidR="00DC6C0B">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F744F5" w:rsidRDefault="00F744F5" w:rsidP="00F66C1C">
      <w:pPr>
        <w:widowControl/>
        <w:numPr>
          <w:ilvl w:val="0"/>
          <w:numId w:val="1"/>
        </w:numPr>
        <w:spacing w:after="160"/>
        <w:contextualSpacing/>
        <w:rPr>
          <w:rFonts w:eastAsiaTheme="minorHAnsi"/>
          <w:b/>
          <w:snapToGrid/>
          <w:szCs w:val="24"/>
        </w:rPr>
      </w:pPr>
      <w:r w:rsidRPr="00F744F5">
        <w:rPr>
          <w:rFonts w:eastAsiaTheme="minorHAnsi"/>
          <w:b/>
          <w:snapToGrid/>
          <w:szCs w:val="24"/>
        </w:rPr>
        <w:t>Equipment Inventory listing request for return or reimbursement</w:t>
      </w:r>
    </w:p>
    <w:p w:rsidR="00F66C1C" w:rsidRPr="00DC6C0B" w:rsidRDefault="00AE2141" w:rsidP="00DC6C0B">
      <w:pPr>
        <w:widowControl/>
        <w:ind w:left="1080"/>
        <w:contextualSpacing/>
        <w:rPr>
          <w:rFonts w:eastAsiaTheme="minorHAnsi"/>
          <w:snapToGrid/>
          <w:szCs w:val="24"/>
        </w:rPr>
      </w:pPr>
      <w:r>
        <w:rPr>
          <w:rFonts w:eastAsiaTheme="minorHAnsi"/>
          <w:snapToGrid/>
          <w:szCs w:val="24"/>
        </w:rPr>
        <w:t xml:space="preserve">Christopher Lum Lee noted the equipment listing </w:t>
      </w:r>
      <w:r w:rsidR="00DC6C0B">
        <w:rPr>
          <w:rFonts w:eastAsiaTheme="minorHAnsi"/>
          <w:snapToGrid/>
          <w:szCs w:val="24"/>
        </w:rPr>
        <w:t xml:space="preserve">request for return or reimbursement revolves around three broken televisions and the American with Disabilities Act of 1990 (ADA) compliant doors. Christopher noted that the ADA doors are from the </w:t>
      </w:r>
      <w:r w:rsidR="00DC6C0B" w:rsidRPr="00DC6C0B">
        <w:rPr>
          <w:rFonts w:eastAsiaTheme="minorHAnsi"/>
          <w:snapToGrid/>
          <w:szCs w:val="24"/>
        </w:rPr>
        <w:t>Dillingham Office prior to the move to Dole Cannery. If the requested equipment cannot be returned reimbursement will be requested.</w:t>
      </w:r>
    </w:p>
    <w:p w:rsidR="00AE2141" w:rsidRDefault="00DC6C0B" w:rsidP="00072643">
      <w:pPr>
        <w:pStyle w:val="ListParagraph"/>
        <w:numPr>
          <w:ilvl w:val="0"/>
          <w:numId w:val="3"/>
        </w:numPr>
        <w:spacing w:after="0" w:line="240" w:lineRule="auto"/>
        <w:rPr>
          <w:rFonts w:ascii="Times New Roman" w:hAnsi="Times New Roman" w:cs="Times New Roman"/>
          <w:sz w:val="24"/>
          <w:szCs w:val="24"/>
        </w:rPr>
      </w:pPr>
      <w:r w:rsidRPr="00DC6C0B">
        <w:rPr>
          <w:rFonts w:ascii="Times New Roman" w:hAnsi="Times New Roman" w:cs="Times New Roman"/>
          <w:sz w:val="24"/>
          <w:szCs w:val="24"/>
        </w:rPr>
        <w:t xml:space="preserve">Andrea Gaines, Assistant Administrator of the WorkHawaii Division, </w:t>
      </w:r>
      <w:r w:rsidR="00072643">
        <w:rPr>
          <w:rFonts w:ascii="Times New Roman" w:hAnsi="Times New Roman" w:cs="Times New Roman"/>
          <w:sz w:val="24"/>
          <w:szCs w:val="24"/>
        </w:rPr>
        <w:t>noted that their fiscal team has sent notification, the morning of the meeting, that the ADA doors were 100% paid for by WorkHawaii general funds.</w:t>
      </w:r>
    </w:p>
    <w:p w:rsidR="00072643" w:rsidRDefault="00072643" w:rsidP="00072643">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Christopher Lum Lee inquired why the ADA doors are on the One Stop Operator (OSO) equipment list if they were 100% generally funded, Andrea informed him that they are still investigating.</w:t>
      </w:r>
    </w:p>
    <w:p w:rsidR="005E5386" w:rsidRDefault="00072643" w:rsidP="0007264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Kuranishi, E</w:t>
      </w:r>
      <w:r w:rsidR="005E5386">
        <w:rPr>
          <w:rFonts w:ascii="Times New Roman" w:hAnsi="Times New Roman" w:cs="Times New Roman"/>
          <w:sz w:val="24"/>
          <w:szCs w:val="24"/>
        </w:rPr>
        <w:t xml:space="preserve">xecutive Director of OWDB, gave some historical information regarding the equipment lists. </w:t>
      </w:r>
    </w:p>
    <w:p w:rsidR="00072643" w:rsidRDefault="005E5386" w:rsidP="005E5386">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 a point there was OSO purchased equipment on the Adult, Dislocated Worker, and Youth lists. They have since been revised within the past two ~ three years.</w:t>
      </w:r>
    </w:p>
    <w:p w:rsidR="005E5386" w:rsidRDefault="005E5386" w:rsidP="005E5386">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also noted the data request from Hawaii News Now reporter Lynn Kawano, she had requested the city inventory list back in 2022. Prior to that the inventory list included equipment from 1999, after revision all equipment purchased prior to that start of the Workforce Innovation and Opportunity Act (WIOA) was removed. WIOA was signed into law on July 2014.</w:t>
      </w:r>
    </w:p>
    <w:p w:rsidR="00072643" w:rsidRPr="00072643" w:rsidRDefault="00072643" w:rsidP="00072643">
      <w:pPr>
        <w:pStyle w:val="ListParagraph"/>
        <w:spacing w:after="0" w:line="240" w:lineRule="auto"/>
        <w:ind w:left="1800"/>
        <w:rPr>
          <w:rFonts w:ascii="Times New Roman" w:hAnsi="Times New Roman" w:cs="Times New Roman"/>
          <w:sz w:val="24"/>
          <w:szCs w:val="24"/>
        </w:rPr>
      </w:pPr>
    </w:p>
    <w:p w:rsidR="00434549" w:rsidRDefault="005E5386" w:rsidP="00F66C1C">
      <w:pPr>
        <w:widowControl/>
        <w:spacing w:after="160"/>
        <w:ind w:left="1080"/>
        <w:contextualSpacing/>
        <w:rPr>
          <w:rFonts w:eastAsiaTheme="minorHAnsi"/>
          <w:snapToGrid/>
          <w:szCs w:val="24"/>
        </w:rPr>
      </w:pPr>
      <w:r>
        <w:rPr>
          <w:rFonts w:eastAsiaTheme="minorHAnsi"/>
          <w:snapToGrid/>
          <w:szCs w:val="24"/>
        </w:rPr>
        <w:t xml:space="preserve">Chair Christopher Lum Lee </w:t>
      </w:r>
      <w:r w:rsidR="00434549">
        <w:rPr>
          <w:rFonts w:eastAsiaTheme="minorHAnsi"/>
          <w:snapToGrid/>
          <w:szCs w:val="24"/>
        </w:rPr>
        <w:t>amended the action item to only include the return or reimbursement of the three broken televisions</w:t>
      </w:r>
      <w:r w:rsidR="00465FD7">
        <w:rPr>
          <w:rFonts w:eastAsiaTheme="minorHAnsi"/>
          <w:snapToGrid/>
          <w:szCs w:val="24"/>
        </w:rPr>
        <w:t xml:space="preserve"> rather that the ADA doors and the three broken televisions</w:t>
      </w:r>
      <w:r w:rsidR="00434549">
        <w:rPr>
          <w:rFonts w:eastAsiaTheme="minorHAnsi"/>
          <w:snapToGrid/>
          <w:szCs w:val="24"/>
        </w:rPr>
        <w:t>.</w:t>
      </w:r>
    </w:p>
    <w:p w:rsidR="00434549" w:rsidRDefault="00434549" w:rsidP="00F66C1C">
      <w:pPr>
        <w:widowControl/>
        <w:spacing w:after="160"/>
        <w:ind w:left="1080"/>
        <w:contextualSpacing/>
        <w:rPr>
          <w:rFonts w:eastAsiaTheme="minorHAnsi"/>
          <w:snapToGrid/>
          <w:szCs w:val="24"/>
        </w:rPr>
      </w:pPr>
    </w:p>
    <w:p w:rsidR="00AE2141" w:rsidRPr="00F66C1C" w:rsidRDefault="00434549" w:rsidP="00F66C1C">
      <w:pPr>
        <w:widowControl/>
        <w:spacing w:after="160"/>
        <w:ind w:left="1080"/>
        <w:contextualSpacing/>
        <w:rPr>
          <w:rFonts w:eastAsiaTheme="minorHAnsi"/>
          <w:snapToGrid/>
          <w:szCs w:val="24"/>
        </w:rPr>
      </w:pPr>
      <w:r>
        <w:rPr>
          <w:rFonts w:eastAsiaTheme="minorHAnsi"/>
          <w:snapToGrid/>
          <w:szCs w:val="24"/>
        </w:rPr>
        <w:t xml:space="preserve">Chair Christopher Lum Lee </w:t>
      </w:r>
      <w:r w:rsidR="005E5386">
        <w:rPr>
          <w:rFonts w:eastAsiaTheme="minorHAnsi"/>
          <w:snapToGrid/>
          <w:szCs w:val="24"/>
        </w:rPr>
        <w:t xml:space="preserve">requested a motion </w:t>
      </w:r>
      <w:r>
        <w:rPr>
          <w:rFonts w:eastAsiaTheme="minorHAnsi"/>
          <w:snapToGrid/>
          <w:szCs w:val="24"/>
        </w:rPr>
        <w:t xml:space="preserve">for the return or reimbursement for three broken televisions listed on the Service Provider equipment lists. </w:t>
      </w:r>
      <w:r w:rsidR="00AE2141">
        <w:rPr>
          <w:rFonts w:eastAsiaTheme="minorHAnsi"/>
          <w:snapToGrid/>
          <w:szCs w:val="24"/>
        </w:rPr>
        <w:t xml:space="preserve">Trevor </w:t>
      </w:r>
      <w:r>
        <w:rPr>
          <w:rFonts w:eastAsiaTheme="minorHAnsi"/>
          <w:snapToGrid/>
          <w:szCs w:val="24"/>
        </w:rPr>
        <w:t xml:space="preserve">Bracher </w:t>
      </w:r>
      <w:r w:rsidR="00AE2141">
        <w:rPr>
          <w:rFonts w:eastAsiaTheme="minorHAnsi"/>
          <w:snapToGrid/>
          <w:szCs w:val="24"/>
        </w:rPr>
        <w:t>moved</w:t>
      </w:r>
      <w:r>
        <w:rPr>
          <w:rFonts w:eastAsiaTheme="minorHAnsi"/>
          <w:snapToGrid/>
          <w:szCs w:val="24"/>
        </w:rPr>
        <w:t xml:space="preserve"> to approve the request of return or reimbursement of three broken televisions listed on the Service Provider Equipment list</w:t>
      </w:r>
      <w:r w:rsidR="00AE2141">
        <w:rPr>
          <w:rFonts w:eastAsiaTheme="minorHAnsi"/>
          <w:snapToGrid/>
          <w:szCs w:val="24"/>
        </w:rPr>
        <w:t xml:space="preserve">, Andrew </w:t>
      </w:r>
      <w:r>
        <w:rPr>
          <w:rFonts w:eastAsiaTheme="minorHAnsi"/>
          <w:snapToGrid/>
          <w:szCs w:val="24"/>
        </w:rPr>
        <w:t xml:space="preserve">Rosen </w:t>
      </w:r>
      <w:r w:rsidR="00AE2141">
        <w:rPr>
          <w:rFonts w:eastAsiaTheme="minorHAnsi"/>
          <w:snapToGrid/>
          <w:szCs w:val="24"/>
        </w:rPr>
        <w:t>second</w:t>
      </w:r>
      <w:r>
        <w:rPr>
          <w:rFonts w:eastAsiaTheme="minorHAnsi"/>
          <w:snapToGrid/>
          <w:szCs w:val="24"/>
        </w:rPr>
        <w:t>ed the motion. There were no objections or abstentions. The request was approved unanimously.</w:t>
      </w:r>
    </w:p>
    <w:p w:rsidR="00F66C1C" w:rsidRPr="00F66C1C" w:rsidRDefault="00F66C1C" w:rsidP="00F66C1C">
      <w:pPr>
        <w:widowControl/>
        <w:spacing w:after="160"/>
        <w:ind w:left="1080"/>
        <w:contextualSpacing/>
        <w:rPr>
          <w:rFonts w:eastAsiaTheme="minorHAnsi"/>
          <w:b/>
          <w:snapToGrid/>
          <w:szCs w:val="24"/>
        </w:rPr>
      </w:pPr>
    </w:p>
    <w:p w:rsidR="00AE2141" w:rsidRDefault="00AE2141" w:rsidP="00F66C1C">
      <w:pPr>
        <w:widowControl/>
        <w:numPr>
          <w:ilvl w:val="0"/>
          <w:numId w:val="1"/>
        </w:numPr>
        <w:spacing w:after="160"/>
        <w:contextualSpacing/>
        <w:rPr>
          <w:rFonts w:eastAsiaTheme="minorHAnsi"/>
          <w:b/>
          <w:snapToGrid/>
          <w:szCs w:val="24"/>
        </w:rPr>
      </w:pPr>
      <w:r>
        <w:rPr>
          <w:rFonts w:eastAsiaTheme="minorHAnsi"/>
          <w:b/>
          <w:snapToGrid/>
          <w:szCs w:val="24"/>
        </w:rPr>
        <w:t>Update of P</w:t>
      </w:r>
      <w:r w:rsidR="00F744F5">
        <w:rPr>
          <w:rFonts w:eastAsiaTheme="minorHAnsi"/>
          <w:b/>
          <w:snapToGrid/>
          <w:szCs w:val="24"/>
        </w:rPr>
        <w:t xml:space="preserve">rogram </w:t>
      </w:r>
      <w:r>
        <w:rPr>
          <w:rFonts w:eastAsiaTheme="minorHAnsi"/>
          <w:b/>
          <w:snapToGrid/>
          <w:szCs w:val="24"/>
        </w:rPr>
        <w:t>Y</w:t>
      </w:r>
      <w:r w:rsidR="00F744F5">
        <w:rPr>
          <w:rFonts w:eastAsiaTheme="minorHAnsi"/>
          <w:b/>
          <w:snapToGrid/>
          <w:szCs w:val="24"/>
        </w:rPr>
        <w:t xml:space="preserve">ear </w:t>
      </w:r>
      <w:r>
        <w:rPr>
          <w:rFonts w:eastAsiaTheme="minorHAnsi"/>
          <w:b/>
          <w:snapToGrid/>
          <w:szCs w:val="24"/>
        </w:rPr>
        <w:t>25 Contract Allocations</w:t>
      </w:r>
    </w:p>
    <w:p w:rsidR="00AE2141" w:rsidRDefault="00AE2141" w:rsidP="00AE2141">
      <w:pPr>
        <w:widowControl/>
        <w:spacing w:after="160"/>
        <w:ind w:left="1080"/>
        <w:contextualSpacing/>
        <w:rPr>
          <w:rFonts w:eastAsiaTheme="minorHAnsi"/>
          <w:snapToGrid/>
          <w:szCs w:val="24"/>
        </w:rPr>
      </w:pPr>
      <w:r>
        <w:rPr>
          <w:rFonts w:eastAsiaTheme="minorHAnsi"/>
          <w:snapToGrid/>
          <w:szCs w:val="24"/>
        </w:rPr>
        <w:t xml:space="preserve">Harrison Kuranishi noted that the contracts were received on March </w:t>
      </w:r>
      <w:r w:rsidR="00434549">
        <w:rPr>
          <w:rFonts w:eastAsiaTheme="minorHAnsi"/>
          <w:snapToGrid/>
          <w:szCs w:val="24"/>
        </w:rPr>
        <w:t>20</w:t>
      </w:r>
      <w:r>
        <w:rPr>
          <w:rFonts w:eastAsiaTheme="minorHAnsi"/>
          <w:snapToGrid/>
          <w:szCs w:val="24"/>
        </w:rPr>
        <w:t>, 2026</w:t>
      </w:r>
      <w:r w:rsidR="00434549">
        <w:rPr>
          <w:rFonts w:eastAsiaTheme="minorHAnsi"/>
          <w:snapToGrid/>
          <w:szCs w:val="24"/>
        </w:rPr>
        <w:t>, from the State of Hawaii, confirming that Program Year (PY) 25 funds will be received.</w:t>
      </w:r>
    </w:p>
    <w:p w:rsidR="00AE2141" w:rsidRDefault="00AE2141" w:rsidP="00AE2141">
      <w:pPr>
        <w:widowControl/>
        <w:spacing w:after="160"/>
        <w:ind w:left="1080"/>
        <w:contextualSpacing/>
        <w:rPr>
          <w:rFonts w:eastAsiaTheme="minorHAnsi"/>
          <w:snapToGrid/>
          <w:szCs w:val="24"/>
        </w:rPr>
      </w:pPr>
    </w:p>
    <w:p w:rsidR="00AE2141" w:rsidRPr="00465FD7" w:rsidRDefault="00AE2141" w:rsidP="00465FD7">
      <w:pPr>
        <w:widowControl/>
        <w:ind w:left="1080"/>
        <w:contextualSpacing/>
        <w:rPr>
          <w:rFonts w:eastAsiaTheme="minorHAnsi"/>
          <w:snapToGrid/>
          <w:szCs w:val="24"/>
        </w:rPr>
      </w:pPr>
      <w:r>
        <w:rPr>
          <w:rFonts w:eastAsiaTheme="minorHAnsi"/>
          <w:snapToGrid/>
          <w:szCs w:val="24"/>
        </w:rPr>
        <w:t xml:space="preserve">Erin Nicole Fernandez, </w:t>
      </w:r>
      <w:r w:rsidR="00434549">
        <w:rPr>
          <w:rFonts w:eastAsiaTheme="minorHAnsi"/>
          <w:snapToGrid/>
          <w:szCs w:val="24"/>
        </w:rPr>
        <w:t>WIOA Specialist</w:t>
      </w:r>
      <w:r>
        <w:rPr>
          <w:rFonts w:eastAsiaTheme="minorHAnsi"/>
          <w:snapToGrid/>
          <w:szCs w:val="24"/>
        </w:rPr>
        <w:t xml:space="preserve"> for OWDB, gave the numbers that are based </w:t>
      </w:r>
      <w:r w:rsidRPr="00465FD7">
        <w:rPr>
          <w:rFonts w:eastAsiaTheme="minorHAnsi"/>
          <w:snapToGrid/>
          <w:szCs w:val="24"/>
        </w:rPr>
        <w:t>off of the PY25 allocations bulletin.</w:t>
      </w:r>
    </w:p>
    <w:p w:rsidR="00434549" w:rsidRDefault="00434549" w:rsidP="00465FD7">
      <w:pPr>
        <w:pStyle w:val="ListParagraph"/>
        <w:numPr>
          <w:ilvl w:val="0"/>
          <w:numId w:val="4"/>
        </w:numPr>
        <w:spacing w:after="0" w:line="240" w:lineRule="auto"/>
        <w:rPr>
          <w:rFonts w:ascii="Times New Roman" w:hAnsi="Times New Roman" w:cs="Times New Roman"/>
          <w:sz w:val="24"/>
          <w:szCs w:val="24"/>
        </w:rPr>
      </w:pPr>
      <w:r w:rsidRPr="00465FD7">
        <w:rPr>
          <w:rFonts w:ascii="Times New Roman" w:hAnsi="Times New Roman" w:cs="Times New Roman"/>
          <w:sz w:val="24"/>
          <w:szCs w:val="24"/>
        </w:rPr>
        <w:lastRenderedPageBreak/>
        <w:t xml:space="preserve">For PY25 the Adult allocations are $1,388,485, Dislocated Worker allocations are $687,003, Youth allocations are </w:t>
      </w:r>
      <w:r w:rsidR="00465FD7" w:rsidRPr="00465FD7">
        <w:rPr>
          <w:rFonts w:ascii="Times New Roman" w:hAnsi="Times New Roman" w:cs="Times New Roman"/>
          <w:sz w:val="24"/>
          <w:szCs w:val="24"/>
        </w:rPr>
        <w:t>$1,596,410, and Local Administrative Cost allocations are $223,577.</w:t>
      </w:r>
    </w:p>
    <w:p w:rsidR="00465FD7" w:rsidRPr="00465FD7" w:rsidRDefault="00465FD7" w:rsidP="00465FD7">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Harrison Kuranishi noted that it is close to $1MM less than PY24 allocations.</w:t>
      </w:r>
    </w:p>
    <w:p w:rsidR="00AE2141" w:rsidRPr="00AE2141" w:rsidRDefault="00AE2141" w:rsidP="00AE2141">
      <w:pPr>
        <w:widowControl/>
        <w:spacing w:after="160"/>
        <w:ind w:left="1080"/>
        <w:contextualSpacing/>
        <w:rPr>
          <w:rFonts w:eastAsiaTheme="minorHAnsi"/>
          <w:snapToGrid/>
          <w:szCs w:val="24"/>
        </w:rPr>
      </w:pPr>
    </w:p>
    <w:p w:rsidR="00AE2141" w:rsidRDefault="00F744F5" w:rsidP="00F66C1C">
      <w:pPr>
        <w:widowControl/>
        <w:numPr>
          <w:ilvl w:val="0"/>
          <w:numId w:val="1"/>
        </w:numPr>
        <w:spacing w:after="160"/>
        <w:contextualSpacing/>
        <w:rPr>
          <w:rFonts w:eastAsiaTheme="minorHAnsi"/>
          <w:b/>
          <w:snapToGrid/>
          <w:szCs w:val="24"/>
        </w:rPr>
      </w:pPr>
      <w:r>
        <w:rPr>
          <w:rFonts w:eastAsiaTheme="minorHAnsi"/>
          <w:b/>
          <w:snapToGrid/>
          <w:szCs w:val="24"/>
        </w:rPr>
        <w:t>Budget Modification</w:t>
      </w:r>
    </w:p>
    <w:p w:rsidR="00AE2141" w:rsidRDefault="007D3449" w:rsidP="00AE2141">
      <w:pPr>
        <w:widowControl/>
        <w:spacing w:after="160"/>
        <w:ind w:left="1080"/>
        <w:contextualSpacing/>
        <w:rPr>
          <w:rFonts w:eastAsiaTheme="minorHAnsi"/>
          <w:snapToGrid/>
          <w:szCs w:val="24"/>
        </w:rPr>
      </w:pPr>
      <w:r>
        <w:rPr>
          <w:rFonts w:eastAsiaTheme="minorHAnsi"/>
          <w:snapToGrid/>
          <w:szCs w:val="24"/>
        </w:rPr>
        <w:t xml:space="preserve">Chair Christopher Lum Lee </w:t>
      </w:r>
      <w:r w:rsidR="00465FD7">
        <w:rPr>
          <w:rFonts w:eastAsiaTheme="minorHAnsi"/>
          <w:snapToGrid/>
          <w:szCs w:val="24"/>
        </w:rPr>
        <w:t>shared the budget modification that was provided by the Service Provider.</w:t>
      </w:r>
      <w:r w:rsidR="009E2379">
        <w:rPr>
          <w:rFonts w:eastAsiaTheme="minorHAnsi"/>
          <w:snapToGrid/>
          <w:szCs w:val="24"/>
        </w:rPr>
        <w:t xml:space="preserve"> The Budget modification can be found at the following link:</w:t>
      </w:r>
    </w:p>
    <w:p w:rsidR="009E2379" w:rsidRDefault="009E2379" w:rsidP="00AE2141">
      <w:pPr>
        <w:widowControl/>
        <w:spacing w:after="160"/>
        <w:ind w:left="1080"/>
        <w:contextualSpacing/>
        <w:rPr>
          <w:rFonts w:eastAsiaTheme="minorHAnsi"/>
          <w:snapToGrid/>
          <w:szCs w:val="24"/>
        </w:rPr>
      </w:pPr>
      <w:hyperlink r:id="rId11" w:history="1">
        <w:r w:rsidRPr="00623EC9">
          <w:rPr>
            <w:rStyle w:val="Hyperlink"/>
            <w:rFonts w:eastAsiaTheme="minorHAnsi"/>
            <w:snapToGrid/>
            <w:szCs w:val="24"/>
          </w:rPr>
          <w:t>https://oahuwdb.com/wp-content/uploads/2026/04/budgetmod.pdf</w:t>
        </w:r>
      </w:hyperlink>
    </w:p>
    <w:p w:rsidR="009E2379" w:rsidRDefault="009E2379" w:rsidP="00AE2141">
      <w:pPr>
        <w:widowControl/>
        <w:spacing w:after="160"/>
        <w:ind w:left="1080"/>
        <w:contextualSpacing/>
        <w:rPr>
          <w:rFonts w:eastAsiaTheme="minorHAnsi"/>
          <w:snapToGrid/>
          <w:szCs w:val="24"/>
        </w:rPr>
      </w:pPr>
    </w:p>
    <w:p w:rsidR="00A5747E" w:rsidRPr="00A5747E" w:rsidRDefault="009E2379" w:rsidP="00A5747E">
      <w:pPr>
        <w:widowControl/>
        <w:ind w:left="1080"/>
        <w:contextualSpacing/>
        <w:rPr>
          <w:rFonts w:eastAsiaTheme="minorHAnsi"/>
          <w:snapToGrid/>
          <w:szCs w:val="24"/>
        </w:rPr>
      </w:pPr>
      <w:r>
        <w:rPr>
          <w:rFonts w:eastAsiaTheme="minorHAnsi"/>
          <w:snapToGrid/>
          <w:szCs w:val="24"/>
        </w:rPr>
        <w:t>Chair</w:t>
      </w:r>
      <w:r w:rsidR="002607DC">
        <w:rPr>
          <w:rFonts w:eastAsiaTheme="minorHAnsi"/>
          <w:snapToGrid/>
          <w:szCs w:val="24"/>
        </w:rPr>
        <w:t xml:space="preserve"> Christopher</w:t>
      </w:r>
      <w:r>
        <w:rPr>
          <w:rFonts w:eastAsiaTheme="minorHAnsi"/>
          <w:snapToGrid/>
          <w:szCs w:val="24"/>
        </w:rPr>
        <w:t xml:space="preserve"> Lum Lee noted concern for the Adult budget modification as it doesn’t take </w:t>
      </w:r>
      <w:r w:rsidRPr="00A5747E">
        <w:rPr>
          <w:rFonts w:eastAsiaTheme="minorHAnsi"/>
          <w:snapToGrid/>
          <w:szCs w:val="24"/>
        </w:rPr>
        <w:t>into account the amount of funds that the various special projects will be utilizing.</w:t>
      </w:r>
      <w:r w:rsidR="00A5747E" w:rsidRPr="00A5747E">
        <w:rPr>
          <w:rFonts w:eastAsiaTheme="minorHAnsi"/>
          <w:snapToGrid/>
          <w:szCs w:val="24"/>
        </w:rPr>
        <w:t xml:space="preserve"> </w:t>
      </w:r>
    </w:p>
    <w:p w:rsidR="009E2379" w:rsidRDefault="00A5747E" w:rsidP="00A5747E">
      <w:pPr>
        <w:pStyle w:val="ListParagraph"/>
        <w:numPr>
          <w:ilvl w:val="0"/>
          <w:numId w:val="4"/>
        </w:numPr>
        <w:spacing w:after="0"/>
        <w:rPr>
          <w:rFonts w:ascii="Times New Roman" w:hAnsi="Times New Roman" w:cs="Times New Roman"/>
          <w:sz w:val="24"/>
          <w:szCs w:val="24"/>
        </w:rPr>
      </w:pPr>
      <w:r w:rsidRPr="00A5747E">
        <w:rPr>
          <w:rFonts w:ascii="Times New Roman" w:hAnsi="Times New Roman" w:cs="Times New Roman"/>
          <w:sz w:val="24"/>
          <w:szCs w:val="24"/>
        </w:rPr>
        <w:t>For the Dislocated Worker budget modification it is just internal movement.</w:t>
      </w:r>
    </w:p>
    <w:p w:rsidR="00A5747E" w:rsidRDefault="00A5747E" w:rsidP="00A5747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Chair </w:t>
      </w:r>
      <w:r w:rsidR="002607DC">
        <w:rPr>
          <w:rFonts w:ascii="Times New Roman" w:hAnsi="Times New Roman" w:cs="Times New Roman"/>
          <w:sz w:val="24"/>
          <w:szCs w:val="24"/>
        </w:rPr>
        <w:t xml:space="preserve">Christopher </w:t>
      </w:r>
      <w:r>
        <w:rPr>
          <w:rFonts w:ascii="Times New Roman" w:hAnsi="Times New Roman" w:cs="Times New Roman"/>
          <w:sz w:val="24"/>
          <w:szCs w:val="24"/>
        </w:rPr>
        <w:t>Lum Lee inquired if the $220,000 is available to be moved, Erin Nicole Fernandez noted that there is available funds. Chair Lum Lee followed up asking if a budget modification would need to be sent to the State, Harrison Kuranishi noted that it would need to be a revision of the Memorandum of Agreement (MOA) as the MOA includes a dollar amount.</w:t>
      </w:r>
    </w:p>
    <w:p w:rsidR="00A5747E" w:rsidRDefault="00A5747E" w:rsidP="00A5747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 MOA would be routed to OWDB’s COR Counsel with the new amount noting the addition of $220,696.00, and follow the proper routes for signatures.</w:t>
      </w:r>
    </w:p>
    <w:p w:rsidR="00A5747E" w:rsidRDefault="00A5747E" w:rsidP="00A5747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Chair </w:t>
      </w:r>
      <w:r w:rsidR="002607DC">
        <w:rPr>
          <w:rFonts w:ascii="Times New Roman" w:hAnsi="Times New Roman" w:cs="Times New Roman"/>
          <w:sz w:val="24"/>
          <w:szCs w:val="24"/>
        </w:rPr>
        <w:t xml:space="preserve">Christopher </w:t>
      </w:r>
      <w:r>
        <w:rPr>
          <w:rFonts w:ascii="Times New Roman" w:hAnsi="Times New Roman" w:cs="Times New Roman"/>
          <w:sz w:val="24"/>
          <w:szCs w:val="24"/>
        </w:rPr>
        <w:t>Lum Lee noted that with the next board meeting being around the end of April. He inquired, if approved, if the Service Provider</w:t>
      </w:r>
      <w:r w:rsidR="0032364A">
        <w:rPr>
          <w:rFonts w:ascii="Times New Roman" w:hAnsi="Times New Roman" w:cs="Times New Roman"/>
          <w:sz w:val="24"/>
          <w:szCs w:val="24"/>
        </w:rPr>
        <w:t xml:space="preserve"> would be able to facilitate</w:t>
      </w:r>
      <w:r>
        <w:rPr>
          <w:rFonts w:ascii="Times New Roman" w:hAnsi="Times New Roman" w:cs="Times New Roman"/>
          <w:sz w:val="24"/>
          <w:szCs w:val="24"/>
        </w:rPr>
        <w:t xml:space="preserve"> spend down of the $220,696.00.</w:t>
      </w:r>
    </w:p>
    <w:p w:rsidR="00A5747E" w:rsidRDefault="00A5747E" w:rsidP="00A5747E">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Andrea Gaines noted that they would need to look at projections based off of current expenditures as the budget modifications were drafted</w:t>
      </w:r>
      <w:r w:rsidR="008C726C">
        <w:rPr>
          <w:rFonts w:ascii="Times New Roman" w:hAnsi="Times New Roman" w:cs="Times New Roman"/>
          <w:sz w:val="24"/>
          <w:szCs w:val="24"/>
        </w:rPr>
        <w:t xml:space="preserve"> in the beginning of February.</w:t>
      </w:r>
    </w:p>
    <w:p w:rsidR="00FC4822" w:rsidRDefault="00FC4822" w:rsidP="00FC482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Andrea Gaines noted that if the Adult modification is not approved, the training participants may need to be limited as per last reports the programmatic services funds are diminishing.</w:t>
      </w:r>
    </w:p>
    <w:p w:rsidR="00FC4822" w:rsidRDefault="00FC4822" w:rsidP="00FC482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Chair </w:t>
      </w:r>
      <w:r w:rsidR="002607DC">
        <w:rPr>
          <w:rFonts w:ascii="Times New Roman" w:hAnsi="Times New Roman" w:cs="Times New Roman"/>
          <w:sz w:val="24"/>
          <w:szCs w:val="24"/>
        </w:rPr>
        <w:t xml:space="preserve">Christopher </w:t>
      </w:r>
      <w:r>
        <w:rPr>
          <w:rFonts w:ascii="Times New Roman" w:hAnsi="Times New Roman" w:cs="Times New Roman"/>
          <w:sz w:val="24"/>
          <w:szCs w:val="24"/>
        </w:rPr>
        <w:t>Lum Lee inquired how many Adult participants were enrolled during the program year. Lee Williams-Naeole, WIOA Title I Programs Manager at the American Job Center, noted that currently there are 190 enrolled Adult participants.</w:t>
      </w:r>
    </w:p>
    <w:p w:rsidR="00FC4822" w:rsidRPr="00A5747E" w:rsidRDefault="00FC4822" w:rsidP="00FC4822">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 xml:space="preserve">Chair </w:t>
      </w:r>
      <w:r w:rsidR="002607DC">
        <w:rPr>
          <w:rFonts w:ascii="Times New Roman" w:hAnsi="Times New Roman" w:cs="Times New Roman"/>
          <w:sz w:val="24"/>
          <w:szCs w:val="24"/>
        </w:rPr>
        <w:t xml:space="preserve">Christopher </w:t>
      </w:r>
      <w:r>
        <w:rPr>
          <w:rFonts w:ascii="Times New Roman" w:hAnsi="Times New Roman" w:cs="Times New Roman"/>
          <w:sz w:val="24"/>
          <w:szCs w:val="24"/>
        </w:rPr>
        <w:t>Lum Lee then asked what the average cost per participant, Lee noted that the average is around $7,000~8,000.</w:t>
      </w:r>
    </w:p>
    <w:p w:rsidR="007D3449" w:rsidRDefault="007D3449" w:rsidP="008C726C">
      <w:pPr>
        <w:widowControl/>
        <w:spacing w:after="160"/>
        <w:contextualSpacing/>
        <w:rPr>
          <w:rFonts w:eastAsiaTheme="minorHAnsi"/>
          <w:snapToGrid/>
          <w:szCs w:val="24"/>
        </w:rPr>
      </w:pPr>
    </w:p>
    <w:p w:rsidR="002607DC" w:rsidRDefault="002607DC" w:rsidP="002607DC">
      <w:pPr>
        <w:widowControl/>
        <w:ind w:left="1080"/>
        <w:contextualSpacing/>
        <w:rPr>
          <w:rFonts w:eastAsiaTheme="minorHAnsi"/>
          <w:snapToGrid/>
          <w:szCs w:val="24"/>
        </w:rPr>
      </w:pPr>
      <w:r>
        <w:rPr>
          <w:rFonts w:eastAsiaTheme="minorHAnsi"/>
          <w:snapToGrid/>
          <w:szCs w:val="24"/>
        </w:rPr>
        <w:t>Chair Christopher Lum Lee proposed approving the Dislocated Worker and Youth budget modifications, however not the Adult.</w:t>
      </w:r>
    </w:p>
    <w:p w:rsidR="002607DC" w:rsidRDefault="002607DC" w:rsidP="002607DC">
      <w:pPr>
        <w:pStyle w:val="ListParagraph"/>
        <w:numPr>
          <w:ilvl w:val="0"/>
          <w:numId w:val="5"/>
        </w:numPr>
        <w:spacing w:after="0" w:line="240" w:lineRule="auto"/>
        <w:rPr>
          <w:rFonts w:ascii="Times New Roman" w:hAnsi="Times New Roman" w:cs="Times New Roman"/>
          <w:sz w:val="24"/>
          <w:szCs w:val="24"/>
        </w:rPr>
      </w:pPr>
      <w:r w:rsidRPr="002607DC">
        <w:rPr>
          <w:rFonts w:ascii="Times New Roman" w:hAnsi="Times New Roman" w:cs="Times New Roman"/>
          <w:sz w:val="24"/>
          <w:szCs w:val="24"/>
        </w:rPr>
        <w:t>Andrea Gaines wanted clarification on the turnaround time for moving budgetary lines around. She noted that in the Adult program as of February 28</w:t>
      </w:r>
      <w:r w:rsidRPr="002607DC">
        <w:rPr>
          <w:rFonts w:ascii="Times New Roman" w:hAnsi="Times New Roman" w:cs="Times New Roman"/>
          <w:sz w:val="24"/>
          <w:szCs w:val="24"/>
          <w:vertAlign w:val="superscript"/>
        </w:rPr>
        <w:t>th</w:t>
      </w:r>
      <w:r w:rsidRPr="002607DC">
        <w:rPr>
          <w:rFonts w:ascii="Times New Roman" w:hAnsi="Times New Roman" w:cs="Times New Roman"/>
          <w:sz w:val="24"/>
          <w:szCs w:val="24"/>
        </w:rPr>
        <w:t xml:space="preserve"> there was ~$36,000 left in training funds.</w:t>
      </w:r>
    </w:p>
    <w:p w:rsidR="00402086" w:rsidRDefault="002607DC" w:rsidP="00402086">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Harrison Kuranishi noted that if funds are just moving line item to line item, the modification can be approved without being moved through the board.</w:t>
      </w:r>
    </w:p>
    <w:p w:rsidR="00402086" w:rsidRDefault="00402086" w:rsidP="00402086">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Based off of this the Dislocated Worker budget modification would also not need to go to the board.</w:t>
      </w:r>
    </w:p>
    <w:p w:rsidR="00402086" w:rsidRPr="00402086" w:rsidRDefault="00402086" w:rsidP="00402086">
      <w:pPr>
        <w:pStyle w:val="ListParagraph"/>
        <w:spacing w:after="0" w:line="240" w:lineRule="auto"/>
        <w:ind w:left="3240"/>
        <w:rPr>
          <w:rFonts w:ascii="Times New Roman" w:hAnsi="Times New Roman" w:cs="Times New Roman"/>
          <w:sz w:val="24"/>
          <w:szCs w:val="24"/>
        </w:rPr>
      </w:pPr>
    </w:p>
    <w:p w:rsidR="00402086" w:rsidRDefault="007D3449" w:rsidP="00A12AD1">
      <w:pPr>
        <w:widowControl/>
        <w:spacing w:after="160"/>
        <w:ind w:left="1080"/>
        <w:contextualSpacing/>
        <w:rPr>
          <w:rFonts w:eastAsiaTheme="minorHAnsi"/>
          <w:snapToGrid/>
          <w:szCs w:val="24"/>
        </w:rPr>
      </w:pPr>
      <w:r>
        <w:rPr>
          <w:rFonts w:eastAsiaTheme="minorHAnsi"/>
          <w:snapToGrid/>
          <w:szCs w:val="24"/>
        </w:rPr>
        <w:t xml:space="preserve">Chair Christopher Lum Lee requested a motion </w:t>
      </w:r>
      <w:r w:rsidR="008827BB">
        <w:rPr>
          <w:rFonts w:eastAsiaTheme="minorHAnsi"/>
          <w:snapToGrid/>
          <w:szCs w:val="24"/>
        </w:rPr>
        <w:t xml:space="preserve">to approve the Youth program budget modification of $220,696.00 </w:t>
      </w:r>
      <w:r w:rsidR="00402086">
        <w:rPr>
          <w:rFonts w:eastAsiaTheme="minorHAnsi"/>
          <w:snapToGrid/>
          <w:szCs w:val="24"/>
        </w:rPr>
        <w:t>with the following breakdown:</w:t>
      </w:r>
    </w:p>
    <w:tbl>
      <w:tblPr>
        <w:tblStyle w:val="TableGrid"/>
        <w:tblW w:w="0" w:type="auto"/>
        <w:tblInd w:w="1080" w:type="dxa"/>
        <w:tblLook w:val="04A0" w:firstRow="1" w:lastRow="0" w:firstColumn="1" w:lastColumn="0" w:noHBand="0" w:noVBand="1"/>
      </w:tblPr>
      <w:tblGrid>
        <w:gridCol w:w="2785"/>
        <w:gridCol w:w="1800"/>
        <w:gridCol w:w="1800"/>
        <w:gridCol w:w="1885"/>
      </w:tblGrid>
      <w:tr w:rsidR="00402086" w:rsidTr="00402086">
        <w:tc>
          <w:tcPr>
            <w:tcW w:w="2785" w:type="dxa"/>
          </w:tcPr>
          <w:p w:rsidR="00402086" w:rsidRDefault="00402086" w:rsidP="00AE2141">
            <w:pPr>
              <w:widowControl/>
              <w:spacing w:after="160"/>
              <w:contextualSpacing/>
              <w:rPr>
                <w:rFonts w:eastAsiaTheme="minorHAnsi"/>
                <w:snapToGrid/>
                <w:szCs w:val="24"/>
              </w:rPr>
            </w:pPr>
            <w:r>
              <w:rPr>
                <w:rFonts w:eastAsiaTheme="minorHAnsi"/>
                <w:snapToGrid/>
                <w:szCs w:val="24"/>
              </w:rPr>
              <w:t>Personnel Cost</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$518,666.31</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$533,118.59</w:t>
            </w:r>
          </w:p>
        </w:tc>
        <w:tc>
          <w:tcPr>
            <w:tcW w:w="1885" w:type="dxa"/>
          </w:tcPr>
          <w:p w:rsidR="00402086" w:rsidRDefault="00402086" w:rsidP="00AE2141">
            <w:pPr>
              <w:widowControl/>
              <w:spacing w:after="160"/>
              <w:contextualSpacing/>
              <w:rPr>
                <w:rFonts w:eastAsiaTheme="minorHAnsi"/>
                <w:snapToGrid/>
                <w:szCs w:val="24"/>
              </w:rPr>
            </w:pPr>
            <w:r>
              <w:rPr>
                <w:rFonts w:eastAsiaTheme="minorHAnsi"/>
                <w:snapToGrid/>
                <w:szCs w:val="24"/>
              </w:rPr>
              <w:t>$14,452.28</w:t>
            </w:r>
          </w:p>
        </w:tc>
      </w:tr>
      <w:tr w:rsidR="00402086" w:rsidTr="00402086">
        <w:tc>
          <w:tcPr>
            <w:tcW w:w="2785" w:type="dxa"/>
          </w:tcPr>
          <w:p w:rsidR="00402086" w:rsidRDefault="00402086" w:rsidP="00AE2141">
            <w:pPr>
              <w:widowControl/>
              <w:spacing w:after="160"/>
              <w:contextualSpacing/>
              <w:rPr>
                <w:rFonts w:eastAsiaTheme="minorHAnsi"/>
                <w:snapToGrid/>
                <w:szCs w:val="24"/>
              </w:rPr>
            </w:pPr>
            <w:r>
              <w:rPr>
                <w:rFonts w:eastAsiaTheme="minorHAnsi"/>
                <w:snapToGrid/>
                <w:szCs w:val="24"/>
              </w:rPr>
              <w:t>Program Services</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$480,486.44</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$679,563.41</w:t>
            </w:r>
          </w:p>
        </w:tc>
        <w:tc>
          <w:tcPr>
            <w:tcW w:w="1885" w:type="dxa"/>
          </w:tcPr>
          <w:p w:rsidR="00402086" w:rsidRPr="00402086" w:rsidRDefault="00402086" w:rsidP="00AE2141">
            <w:pPr>
              <w:widowControl/>
              <w:spacing w:after="160"/>
              <w:contextualSpacing/>
              <w:rPr>
                <w:rFonts w:eastAsiaTheme="minorHAnsi"/>
                <w:snapToGrid/>
                <w:szCs w:val="24"/>
              </w:rPr>
            </w:pPr>
            <w:r>
              <w:rPr>
                <w:rFonts w:eastAsiaTheme="minorHAnsi"/>
                <w:snapToGrid/>
                <w:szCs w:val="24"/>
              </w:rPr>
              <w:t>$199,076.97</w:t>
            </w:r>
          </w:p>
        </w:tc>
      </w:tr>
      <w:tr w:rsidR="00402086" w:rsidTr="00402086">
        <w:tc>
          <w:tcPr>
            <w:tcW w:w="2785" w:type="dxa"/>
          </w:tcPr>
          <w:p w:rsidR="00402086" w:rsidRDefault="00402086" w:rsidP="00AE2141">
            <w:pPr>
              <w:widowControl/>
              <w:spacing w:after="160"/>
              <w:contextualSpacing/>
              <w:rPr>
                <w:rFonts w:eastAsiaTheme="minorHAnsi"/>
                <w:snapToGrid/>
                <w:szCs w:val="24"/>
              </w:rPr>
            </w:pPr>
            <w:r>
              <w:rPr>
                <w:rFonts w:eastAsiaTheme="minorHAnsi"/>
                <w:snapToGrid/>
                <w:szCs w:val="24"/>
              </w:rPr>
              <w:t>Contractual Services</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$6,666.00</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$0.00</w:t>
            </w:r>
          </w:p>
        </w:tc>
        <w:tc>
          <w:tcPr>
            <w:tcW w:w="1885" w:type="dxa"/>
          </w:tcPr>
          <w:p w:rsidR="00402086" w:rsidRPr="00402086" w:rsidRDefault="00402086" w:rsidP="00AE2141">
            <w:pPr>
              <w:widowControl/>
              <w:spacing w:after="160"/>
              <w:contextualSpacing/>
              <w:rPr>
                <w:rFonts w:eastAsiaTheme="minorHAnsi"/>
                <w:snapToGrid/>
                <w:color w:val="FF0000"/>
                <w:szCs w:val="24"/>
              </w:rPr>
            </w:pPr>
            <w:r>
              <w:rPr>
                <w:rFonts w:eastAsiaTheme="minorHAnsi"/>
                <w:snapToGrid/>
                <w:color w:val="FF0000"/>
                <w:szCs w:val="24"/>
              </w:rPr>
              <w:t>($6,666.00)</w:t>
            </w:r>
          </w:p>
        </w:tc>
      </w:tr>
      <w:tr w:rsidR="00402086" w:rsidTr="00402086">
        <w:tc>
          <w:tcPr>
            <w:tcW w:w="2785" w:type="dxa"/>
          </w:tcPr>
          <w:p w:rsidR="00402086" w:rsidRDefault="00402086" w:rsidP="00AE2141">
            <w:pPr>
              <w:widowControl/>
              <w:spacing w:after="160"/>
              <w:contextualSpacing/>
              <w:rPr>
                <w:rFonts w:eastAsiaTheme="minorHAnsi"/>
                <w:snapToGrid/>
                <w:szCs w:val="24"/>
              </w:rPr>
            </w:pPr>
            <w:r>
              <w:rPr>
                <w:rFonts w:eastAsiaTheme="minorHAnsi"/>
                <w:snapToGrid/>
                <w:szCs w:val="24"/>
              </w:rPr>
              <w:t>Other Current Expenses</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$74,017.25</w:t>
            </w:r>
          </w:p>
        </w:tc>
        <w:tc>
          <w:tcPr>
            <w:tcW w:w="1800" w:type="dxa"/>
          </w:tcPr>
          <w:p w:rsidR="00402086" w:rsidRDefault="00A12AD1" w:rsidP="00AE2141">
            <w:pPr>
              <w:widowControl/>
              <w:spacing w:after="160"/>
              <w:contextualSpacing/>
              <w:rPr>
                <w:rFonts w:eastAsiaTheme="minorHAnsi"/>
                <w:snapToGrid/>
                <w:szCs w:val="24"/>
              </w:rPr>
            </w:pPr>
            <w:r>
              <w:rPr>
                <w:rFonts w:eastAsiaTheme="minorHAnsi"/>
                <w:snapToGrid/>
                <w:szCs w:val="24"/>
              </w:rPr>
              <w:t>$87,850.00</w:t>
            </w:r>
          </w:p>
        </w:tc>
        <w:tc>
          <w:tcPr>
            <w:tcW w:w="1885" w:type="dxa"/>
          </w:tcPr>
          <w:p w:rsidR="00402086" w:rsidRDefault="00402086" w:rsidP="00AE2141">
            <w:pPr>
              <w:widowControl/>
              <w:spacing w:after="160"/>
              <w:contextualSpacing/>
              <w:rPr>
                <w:rFonts w:eastAsiaTheme="minorHAnsi"/>
                <w:snapToGrid/>
                <w:szCs w:val="24"/>
              </w:rPr>
            </w:pPr>
            <w:r>
              <w:rPr>
                <w:rFonts w:eastAsiaTheme="minorHAnsi"/>
                <w:snapToGrid/>
                <w:szCs w:val="24"/>
              </w:rPr>
              <w:t>$13,832.75</w:t>
            </w:r>
          </w:p>
        </w:tc>
      </w:tr>
      <w:tr w:rsidR="00402086" w:rsidTr="00402086">
        <w:tc>
          <w:tcPr>
            <w:tcW w:w="2785" w:type="dxa"/>
          </w:tcPr>
          <w:p w:rsidR="00402086" w:rsidRDefault="00402086" w:rsidP="00AE2141">
            <w:pPr>
              <w:widowControl/>
              <w:spacing w:after="160"/>
              <w:contextualSpacing/>
              <w:rPr>
                <w:rFonts w:eastAsiaTheme="minorHAnsi"/>
                <w:snapToGrid/>
                <w:szCs w:val="24"/>
              </w:rPr>
            </w:pPr>
            <w:r>
              <w:rPr>
                <w:rFonts w:eastAsiaTheme="minorHAnsi"/>
                <w:snapToGrid/>
                <w:szCs w:val="24"/>
              </w:rPr>
              <w:t>Total</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$1,079,836.00</w:t>
            </w:r>
          </w:p>
        </w:tc>
        <w:tc>
          <w:tcPr>
            <w:tcW w:w="1800" w:type="dxa"/>
          </w:tcPr>
          <w:p w:rsidR="00402086" w:rsidRDefault="00402086" w:rsidP="00AE2141">
            <w:pPr>
              <w:widowControl/>
              <w:spacing w:after="160"/>
              <w:contextualSpacing/>
              <w:rPr>
                <w:rFonts w:eastAsiaTheme="minorHAnsi"/>
                <w:snapToGrid/>
                <w:szCs w:val="24"/>
              </w:rPr>
            </w:pPr>
            <w:r>
              <w:rPr>
                <w:rFonts w:eastAsiaTheme="minorHAnsi"/>
                <w:snapToGrid/>
                <w:szCs w:val="24"/>
              </w:rPr>
              <w:t>$1,300,532.00</w:t>
            </w:r>
          </w:p>
        </w:tc>
        <w:tc>
          <w:tcPr>
            <w:tcW w:w="1885" w:type="dxa"/>
          </w:tcPr>
          <w:p w:rsidR="00402086" w:rsidRDefault="00402086" w:rsidP="00AE2141">
            <w:pPr>
              <w:widowControl/>
              <w:spacing w:after="160"/>
              <w:contextualSpacing/>
              <w:rPr>
                <w:rFonts w:eastAsiaTheme="minorHAnsi"/>
                <w:snapToGrid/>
                <w:szCs w:val="24"/>
              </w:rPr>
            </w:pPr>
            <w:r>
              <w:rPr>
                <w:rFonts w:eastAsiaTheme="minorHAnsi"/>
                <w:snapToGrid/>
                <w:szCs w:val="24"/>
              </w:rPr>
              <w:t>$220,696.00</w:t>
            </w:r>
          </w:p>
        </w:tc>
      </w:tr>
    </w:tbl>
    <w:p w:rsidR="008827BB" w:rsidRDefault="008827BB" w:rsidP="00A12AD1">
      <w:pPr>
        <w:widowControl/>
        <w:spacing w:after="160"/>
        <w:ind w:left="1080"/>
        <w:contextualSpacing/>
        <w:rPr>
          <w:rFonts w:eastAsiaTheme="minorHAnsi"/>
          <w:snapToGrid/>
          <w:szCs w:val="24"/>
        </w:rPr>
      </w:pPr>
      <w:r>
        <w:rPr>
          <w:rFonts w:eastAsiaTheme="minorHAnsi"/>
          <w:snapToGrid/>
          <w:szCs w:val="24"/>
        </w:rPr>
        <w:t xml:space="preserve">Trevor </w:t>
      </w:r>
      <w:r w:rsidR="00A12AD1">
        <w:rPr>
          <w:rFonts w:eastAsiaTheme="minorHAnsi"/>
          <w:snapToGrid/>
          <w:szCs w:val="24"/>
        </w:rPr>
        <w:t xml:space="preserve">Bracher </w:t>
      </w:r>
      <w:r>
        <w:rPr>
          <w:rFonts w:eastAsiaTheme="minorHAnsi"/>
          <w:snapToGrid/>
          <w:szCs w:val="24"/>
        </w:rPr>
        <w:t>move</w:t>
      </w:r>
      <w:r w:rsidR="00A12AD1">
        <w:rPr>
          <w:rFonts w:eastAsiaTheme="minorHAnsi"/>
          <w:snapToGrid/>
          <w:szCs w:val="24"/>
        </w:rPr>
        <w:t>d to approve the Youth budget modification with the above breakdown.</w:t>
      </w:r>
      <w:r>
        <w:rPr>
          <w:rFonts w:eastAsiaTheme="minorHAnsi"/>
          <w:snapToGrid/>
          <w:szCs w:val="24"/>
        </w:rPr>
        <w:t xml:space="preserve"> Andrew </w:t>
      </w:r>
      <w:r w:rsidR="004B581C">
        <w:rPr>
          <w:rFonts w:eastAsiaTheme="minorHAnsi"/>
          <w:snapToGrid/>
          <w:szCs w:val="24"/>
        </w:rPr>
        <w:t xml:space="preserve">Rosen </w:t>
      </w:r>
      <w:r>
        <w:rPr>
          <w:rFonts w:eastAsiaTheme="minorHAnsi"/>
          <w:snapToGrid/>
          <w:szCs w:val="24"/>
        </w:rPr>
        <w:t>second</w:t>
      </w:r>
      <w:r w:rsidR="004B581C">
        <w:rPr>
          <w:rFonts w:eastAsiaTheme="minorHAnsi"/>
          <w:snapToGrid/>
          <w:szCs w:val="24"/>
        </w:rPr>
        <w:t>ed the motion. There were no objections or abstentions. The budget modification was approved unanimously.</w:t>
      </w:r>
      <w:bookmarkStart w:id="0" w:name="_GoBack"/>
      <w:bookmarkEnd w:id="0"/>
    </w:p>
    <w:p w:rsidR="00AE2141" w:rsidRPr="00AE2141" w:rsidRDefault="00AE2141" w:rsidP="00AE2141">
      <w:pPr>
        <w:widowControl/>
        <w:spacing w:after="160"/>
        <w:ind w:left="1080"/>
        <w:contextualSpacing/>
        <w:rPr>
          <w:rFonts w:eastAsiaTheme="minorHAnsi"/>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F744F5" w:rsidP="00F66C1C">
      <w:pPr>
        <w:widowControl/>
        <w:spacing w:after="160"/>
        <w:ind w:left="1080"/>
        <w:contextualSpacing/>
        <w:rPr>
          <w:rFonts w:eastAsiaTheme="minorHAnsi"/>
          <w:snapToGrid/>
          <w:szCs w:val="24"/>
        </w:rPr>
      </w:pPr>
      <w:r>
        <w:rPr>
          <w:rFonts w:eastAsiaTheme="minorHAnsi"/>
          <w:snapToGrid/>
          <w:szCs w:val="24"/>
        </w:rPr>
        <w:t>Chair Christopher Lum Lee announced t</w:t>
      </w:r>
      <w:r w:rsidR="007D3449">
        <w:rPr>
          <w:rFonts w:eastAsiaTheme="minorHAnsi"/>
          <w:snapToGrid/>
          <w:szCs w:val="24"/>
        </w:rPr>
        <w:t xml:space="preserve">he next Finance committee meeting is tentatively scheduled for </w:t>
      </w:r>
      <w:r>
        <w:rPr>
          <w:rFonts w:eastAsiaTheme="minorHAnsi"/>
          <w:snapToGrid/>
          <w:szCs w:val="24"/>
        </w:rPr>
        <w:t xml:space="preserve">Thursday, </w:t>
      </w:r>
      <w:r w:rsidR="007D3449">
        <w:rPr>
          <w:rFonts w:eastAsiaTheme="minorHAnsi"/>
          <w:snapToGrid/>
          <w:szCs w:val="24"/>
        </w:rPr>
        <w:t>July 9, 2026 from 11:00 am to 12:00 pm.</w:t>
      </w:r>
    </w:p>
    <w:p w:rsidR="00F66C1C" w:rsidRPr="00F66C1C" w:rsidRDefault="00F66C1C" w:rsidP="008827BB">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7D3449" w:rsidRPr="007D3449">
        <w:rPr>
          <w:rFonts w:eastAsiaTheme="minorHAnsi"/>
          <w:snapToGrid/>
          <w:szCs w:val="24"/>
        </w:rPr>
        <w:t>Christopher Lum</w:t>
      </w:r>
      <w:r w:rsidRPr="007D3449">
        <w:rPr>
          <w:rFonts w:eastAsiaTheme="minorHAnsi"/>
          <w:snapToGrid/>
          <w:szCs w:val="24"/>
        </w:rPr>
        <w:t xml:space="preserve"> Lee</w:t>
      </w:r>
      <w:r w:rsidRPr="00F66C1C">
        <w:rPr>
          <w:rFonts w:eastAsiaTheme="minorHAnsi"/>
          <w:snapToGrid/>
          <w:szCs w:val="24"/>
        </w:rPr>
        <w:t xml:space="preserve"> adjourned the meeting at </w:t>
      </w:r>
      <w:r w:rsidR="008827BB">
        <w:rPr>
          <w:rFonts w:eastAsiaTheme="minorHAnsi"/>
          <w:snapToGrid/>
          <w:szCs w:val="24"/>
        </w:rPr>
        <w:t>11</w:t>
      </w:r>
      <w:r w:rsidRPr="00F66C1C">
        <w:rPr>
          <w:rFonts w:eastAsiaTheme="minorHAnsi"/>
          <w:snapToGrid/>
          <w:szCs w:val="24"/>
        </w:rPr>
        <w:t>:</w:t>
      </w:r>
      <w:r w:rsidR="008827BB">
        <w:rPr>
          <w:rFonts w:eastAsiaTheme="minorHAnsi"/>
          <w:snapToGrid/>
          <w:szCs w:val="24"/>
        </w:rPr>
        <w:t>27</w:t>
      </w:r>
      <w:r w:rsidRPr="00F66C1C">
        <w:rPr>
          <w:rFonts w:eastAsiaTheme="minorHAnsi"/>
          <w:snapToGrid/>
          <w:szCs w:val="24"/>
        </w:rPr>
        <w:t xml:space="preserve"> </w:t>
      </w:r>
      <w:r w:rsidR="007D3449">
        <w:rPr>
          <w:rFonts w:eastAsiaTheme="minorHAnsi"/>
          <w:snapToGrid/>
          <w:szCs w:val="24"/>
        </w:rPr>
        <w:t>a</w:t>
      </w:r>
      <w:r w:rsidRPr="00F66C1C">
        <w:rPr>
          <w:rFonts w:eastAsiaTheme="minorHAnsi"/>
          <w:snapToGrid/>
          <w:szCs w:val="24"/>
        </w:rPr>
        <w:t xml:space="preserve">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ED" w:rsidRDefault="00935CED" w:rsidP="00F66C1C">
      <w:r>
        <w:separator/>
      </w:r>
    </w:p>
  </w:endnote>
  <w:endnote w:type="continuationSeparator" w:id="0">
    <w:p w:rsidR="00935CED" w:rsidRDefault="00935CED"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ED" w:rsidRDefault="00935CED" w:rsidP="00F66C1C">
      <w:r>
        <w:separator/>
      </w:r>
    </w:p>
  </w:footnote>
  <w:footnote w:type="continuationSeparator" w:id="0">
    <w:p w:rsidR="00935CED" w:rsidRDefault="00935CED"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935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26FFD"/>
    <w:multiLevelType w:val="hybridMultilevel"/>
    <w:tmpl w:val="1674A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2A08A0"/>
    <w:multiLevelType w:val="hybridMultilevel"/>
    <w:tmpl w:val="39CC8F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A323231"/>
    <w:multiLevelType w:val="hybridMultilevel"/>
    <w:tmpl w:val="C97E72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72643"/>
    <w:rsid w:val="002359CE"/>
    <w:rsid w:val="00246234"/>
    <w:rsid w:val="002607DC"/>
    <w:rsid w:val="00292099"/>
    <w:rsid w:val="002A18A4"/>
    <w:rsid w:val="00302945"/>
    <w:rsid w:val="0032364A"/>
    <w:rsid w:val="003A6CE8"/>
    <w:rsid w:val="00402086"/>
    <w:rsid w:val="00434549"/>
    <w:rsid w:val="00465A44"/>
    <w:rsid w:val="00465FD7"/>
    <w:rsid w:val="0048194E"/>
    <w:rsid w:val="004A7B2A"/>
    <w:rsid w:val="004B581C"/>
    <w:rsid w:val="004E7DC0"/>
    <w:rsid w:val="0053580C"/>
    <w:rsid w:val="005C189C"/>
    <w:rsid w:val="005E5386"/>
    <w:rsid w:val="00646397"/>
    <w:rsid w:val="006658A1"/>
    <w:rsid w:val="006921ED"/>
    <w:rsid w:val="00742ED1"/>
    <w:rsid w:val="007D3449"/>
    <w:rsid w:val="00830A1F"/>
    <w:rsid w:val="008827BB"/>
    <w:rsid w:val="008C726C"/>
    <w:rsid w:val="008F5855"/>
    <w:rsid w:val="008F6390"/>
    <w:rsid w:val="00935CED"/>
    <w:rsid w:val="009548CA"/>
    <w:rsid w:val="009E2379"/>
    <w:rsid w:val="009F7B80"/>
    <w:rsid w:val="00A03BC9"/>
    <w:rsid w:val="00A12AD1"/>
    <w:rsid w:val="00A5747E"/>
    <w:rsid w:val="00AA491E"/>
    <w:rsid w:val="00AE2141"/>
    <w:rsid w:val="00B25053"/>
    <w:rsid w:val="00BF6C9C"/>
    <w:rsid w:val="00C50EC8"/>
    <w:rsid w:val="00C63CEE"/>
    <w:rsid w:val="00D8793C"/>
    <w:rsid w:val="00DC6C0B"/>
    <w:rsid w:val="00EF40C7"/>
    <w:rsid w:val="00F62D3E"/>
    <w:rsid w:val="00F66C1C"/>
    <w:rsid w:val="00F744F5"/>
    <w:rsid w:val="00FC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table" w:styleId="TableGrid">
    <w:name w:val="Table Grid"/>
    <w:basedOn w:val="TableNormal"/>
    <w:uiPriority w:val="39"/>
    <w:rsid w:val="0040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4/budgetmo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6807-6E64-4F56-814B-F3798AB2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6</cp:revision>
  <cp:lastPrinted>2024-07-03T01:11:00Z</cp:lastPrinted>
  <dcterms:created xsi:type="dcterms:W3CDTF">2026-04-09T21:51:00Z</dcterms:created>
  <dcterms:modified xsi:type="dcterms:W3CDTF">2026-04-22T00:40:00Z</dcterms:modified>
</cp:coreProperties>
</file>